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5E" w:rsidRDefault="00B45048">
      <w:pPr>
        <w:spacing w:after="0" w:line="240" w:lineRule="auto"/>
        <w:jc w:val="center"/>
      </w:pPr>
      <w:bookmarkStart w:id="0" w:name="_GoBack"/>
      <w:bookmarkEnd w:id="0"/>
      <w:r>
        <w:t xml:space="preserve">Compilation of RHC Action &amp; Recommendations  from IRCC-10  </w:t>
      </w:r>
    </w:p>
    <w:p w:rsidR="000F325E" w:rsidRDefault="00B45048">
      <w:pPr>
        <w:spacing w:after="0" w:line="240" w:lineRule="auto"/>
        <w:jc w:val="center"/>
      </w:pPr>
      <w:r>
        <w:t>Source: IHO-IRCC10 India, Goa, 4-6 June 2018 REPORT &amp;</w:t>
      </w:r>
    </w:p>
    <w:p w:rsidR="000F325E" w:rsidRDefault="00B45048">
      <w:pPr>
        <w:spacing w:after="0" w:line="240" w:lineRule="auto"/>
        <w:jc w:val="center"/>
      </w:pPr>
      <w:r>
        <w:t>Report of the IHO IRCC to C-2</w:t>
      </w:r>
    </w:p>
    <w:p w:rsidR="000F325E" w:rsidRDefault="00B45048">
      <w:pPr>
        <w:spacing w:after="0" w:line="240" w:lineRule="auto"/>
        <w:jc w:val="center"/>
      </w:pPr>
      <w:r>
        <w:t>Reference only in anticipation of discussions at ARHC-8</w:t>
      </w:r>
    </w:p>
    <w:p w:rsidR="000F325E" w:rsidRPr="00E74550" w:rsidRDefault="00B45048">
      <w:pPr>
        <w:spacing w:after="0" w:line="240" w:lineRule="auto"/>
        <w:jc w:val="center"/>
        <w:rPr>
          <w:i/>
        </w:rPr>
      </w:pPr>
      <w:r w:rsidRPr="00E74550">
        <w:rPr>
          <w:i/>
        </w:rPr>
        <w:t xml:space="preserve">As of September </w:t>
      </w:r>
      <w:r w:rsidR="00E74550" w:rsidRPr="00E74550">
        <w:rPr>
          <w:i/>
        </w:rPr>
        <w:t>6</w:t>
      </w:r>
      <w:r w:rsidRPr="00E74550">
        <w:rPr>
          <w:i/>
        </w:rPr>
        <w:t>, 2018</w:t>
      </w:r>
    </w:p>
    <w:p w:rsidR="000F325E" w:rsidRDefault="000F325E">
      <w:pPr>
        <w:jc w:val="center"/>
      </w:pPr>
    </w:p>
    <w:tbl>
      <w:tblPr>
        <w:tblStyle w:val="a"/>
        <w:tblW w:w="13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075"/>
        <w:gridCol w:w="3645"/>
      </w:tblGrid>
      <w:tr w:rsidR="000F325E" w:rsidTr="005D378E">
        <w:tc>
          <w:tcPr>
            <w:tcW w:w="1795" w:type="dxa"/>
            <w:shd w:val="clear" w:color="auto" w:fill="DEEBF6"/>
          </w:tcPr>
          <w:p w:rsidR="000F325E" w:rsidRDefault="00B45048">
            <w:pPr>
              <w:jc w:val="center"/>
              <w:rPr>
                <w:b/>
              </w:rPr>
            </w:pPr>
            <w:r>
              <w:rPr>
                <w:b/>
              </w:rPr>
              <w:t>IRCC Report section</w:t>
            </w:r>
          </w:p>
          <w:p w:rsidR="000F325E" w:rsidRDefault="000F325E">
            <w:pPr>
              <w:jc w:val="center"/>
              <w:rPr>
                <w:b/>
              </w:rPr>
            </w:pPr>
          </w:p>
        </w:tc>
        <w:tc>
          <w:tcPr>
            <w:tcW w:w="8075" w:type="dxa"/>
            <w:shd w:val="clear" w:color="auto" w:fill="DEEBF6"/>
          </w:tcPr>
          <w:p w:rsidR="000F325E" w:rsidRPr="00E74550" w:rsidRDefault="00E74550">
            <w:pPr>
              <w:jc w:val="center"/>
              <w:rPr>
                <w:b/>
              </w:rPr>
            </w:pPr>
            <w:r w:rsidRPr="00E74550">
              <w:rPr>
                <w:b/>
              </w:rPr>
              <w:t>Actions/</w:t>
            </w:r>
            <w:r>
              <w:rPr>
                <w:b/>
              </w:rPr>
              <w:t>Recommendations to RHCs</w:t>
            </w:r>
          </w:p>
        </w:tc>
        <w:tc>
          <w:tcPr>
            <w:tcW w:w="3645" w:type="dxa"/>
            <w:shd w:val="clear" w:color="auto" w:fill="DEEBF6"/>
          </w:tcPr>
          <w:p w:rsidR="000F325E" w:rsidRDefault="00B45048">
            <w:pPr>
              <w:jc w:val="center"/>
              <w:rPr>
                <w:b/>
              </w:rPr>
            </w:pPr>
            <w:bookmarkStart w:id="1" w:name="_gjdgxs" w:colFirst="0" w:colLast="0"/>
            <w:bookmarkEnd w:id="1"/>
            <w:r>
              <w:rPr>
                <w:b/>
              </w:rPr>
              <w:t>RHC (ARHC) Status</w:t>
            </w:r>
          </w:p>
        </w:tc>
      </w:tr>
      <w:tr w:rsidR="000F325E" w:rsidTr="005D378E">
        <w:tc>
          <w:tcPr>
            <w:tcW w:w="1795" w:type="dxa"/>
          </w:tcPr>
          <w:p w:rsidR="000F325E" w:rsidRDefault="00B45048">
            <w:pPr>
              <w:rPr>
                <w:sz w:val="18"/>
                <w:szCs w:val="18"/>
              </w:rPr>
            </w:pPr>
            <w:r>
              <w:rPr>
                <w:sz w:val="18"/>
                <w:szCs w:val="18"/>
              </w:rPr>
              <w:t>5. Report by the Chair and the Secretariat</w:t>
            </w:r>
          </w:p>
        </w:tc>
        <w:tc>
          <w:tcPr>
            <w:tcW w:w="8075" w:type="dxa"/>
          </w:tcPr>
          <w:p w:rsidR="000F325E" w:rsidRDefault="00B45048">
            <w:r>
              <w:t>to encourage Member States to provide material to the IHO Secretariat for the promotion of the centenary of the IHO (deadline: IRCC11).</w:t>
            </w:r>
          </w:p>
        </w:tc>
        <w:tc>
          <w:tcPr>
            <w:tcW w:w="3645" w:type="dxa"/>
          </w:tcPr>
          <w:p w:rsidR="000F325E" w:rsidRDefault="000F325E"/>
        </w:tc>
      </w:tr>
      <w:tr w:rsidR="000F325E" w:rsidTr="005D378E">
        <w:tc>
          <w:tcPr>
            <w:tcW w:w="1795" w:type="dxa"/>
          </w:tcPr>
          <w:p w:rsidR="000F325E" w:rsidRDefault="00B45048">
            <w:pPr>
              <w:rPr>
                <w:sz w:val="18"/>
                <w:szCs w:val="18"/>
              </w:rPr>
            </w:pPr>
            <w:r>
              <w:rPr>
                <w:sz w:val="18"/>
                <w:szCs w:val="18"/>
              </w:rPr>
              <w:t>6.2 Revision of IHO Resolution 2/1997 Establishment of RHC</w:t>
            </w:r>
          </w:p>
        </w:tc>
        <w:tc>
          <w:tcPr>
            <w:tcW w:w="8075" w:type="dxa"/>
          </w:tcPr>
          <w:p w:rsidR="000F325E" w:rsidRDefault="00B45048">
            <w:r>
              <w:t>RHC Chairs to submit draft IHO Resolution 2/1997 as amended (Annex C) to the RHC Chairs for comments by Members and report back to IRCC (deadline: October 2018).</w:t>
            </w:r>
          </w:p>
        </w:tc>
        <w:tc>
          <w:tcPr>
            <w:tcW w:w="3645" w:type="dxa"/>
          </w:tcPr>
          <w:p w:rsidR="000F325E" w:rsidRDefault="00B45048">
            <w:r>
              <w:t>at ARHC-8</w:t>
            </w:r>
          </w:p>
          <w:p w:rsidR="000F325E" w:rsidRDefault="00B45048">
            <w:r>
              <w:t>see: IRCC10 Report Annex C</w:t>
            </w:r>
          </w:p>
        </w:tc>
      </w:tr>
      <w:tr w:rsidR="000F325E" w:rsidTr="005D378E">
        <w:tc>
          <w:tcPr>
            <w:tcW w:w="1795" w:type="dxa"/>
          </w:tcPr>
          <w:p w:rsidR="000F325E" w:rsidRDefault="00B45048">
            <w:r>
              <w:t>7.b WWNWS</w:t>
            </w:r>
          </w:p>
        </w:tc>
        <w:tc>
          <w:tcPr>
            <w:tcW w:w="8075" w:type="dxa"/>
          </w:tcPr>
          <w:p w:rsidR="000F325E" w:rsidRDefault="005D378E">
            <w:r>
              <w:t xml:space="preserve">2. </w:t>
            </w:r>
            <w:r w:rsidR="00B45048">
              <w:t>Request National Coordinators review the contents of the relevant Annexes of the GMDSS Master Plan and IHO Publication C-55 – Status of Hydrographic Surveying and Nautical Charting Worldwide – to ensure consistency for their national entries.</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3.</w:t>
            </w:r>
            <w:r w:rsidR="005D378E">
              <w:t xml:space="preserve"> </w:t>
            </w:r>
            <w:r>
              <w:t>Encourage the use of the Joint Manual on MSI to ensure correct terminology and formats are used in MSI messages.</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4.</w:t>
            </w:r>
            <w:r w:rsidR="005D378E">
              <w:t xml:space="preserve"> </w:t>
            </w:r>
            <w:r>
              <w:t>Encourage closer engagement of the National MSI Coordinators of Member States with the relevant NAVAREA Coordinator(s).</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5.</w:t>
            </w:r>
            <w:r w:rsidR="005D378E">
              <w:t xml:space="preserve"> </w:t>
            </w:r>
            <w:r>
              <w:t>Encourage close liaison between regional CB Coordinators and the Chair of the WWNWS-SC on programming and candidate selection for MSI training.</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
              <w:t>6.</w:t>
            </w:r>
            <w:r w:rsidR="005D378E">
              <w:t xml:space="preserve"> </w:t>
            </w:r>
            <w:r>
              <w:t>Encourage the attendance of Member States and Observers at WWNWS-SC meetings.</w:t>
            </w:r>
          </w:p>
          <w:p w:rsidR="000F325E" w:rsidRDefault="000F325E"/>
          <w:p w:rsidR="000F325E" w:rsidRDefault="00B45048">
            <w:pPr>
              <w:rPr>
                <w:i/>
                <w:u w:val="single"/>
              </w:rPr>
            </w:pPr>
            <w:r>
              <w:rPr>
                <w:i/>
                <w:u w:val="single"/>
              </w:rPr>
              <w:t>WWNWS11-Halifax, Canada, 26-30 August 2019</w:t>
            </w:r>
          </w:p>
        </w:tc>
        <w:tc>
          <w:tcPr>
            <w:tcW w:w="3645" w:type="dxa"/>
          </w:tcPr>
          <w:p w:rsidR="000F325E" w:rsidRDefault="00B45048">
            <w:r>
              <w:t>All Arctic NAVAREA Coordinators attended 2018 WWNWS meeting:</w:t>
            </w:r>
          </w:p>
          <w:p w:rsidR="000F325E" w:rsidRDefault="00B45048">
            <w:r>
              <w:t xml:space="preserve">CA:  NAVAREA XVII &amp; XVIII </w:t>
            </w:r>
          </w:p>
          <w:p w:rsidR="000F325E" w:rsidRDefault="00B45048">
            <w:r>
              <w:t>NO: NAVAREA XIX (&amp; V. CHair)</w:t>
            </w:r>
          </w:p>
          <w:p w:rsidR="000F325E" w:rsidRDefault="00B45048">
            <w:r>
              <w:t>RU: NAVAREA XX &amp; XXII</w:t>
            </w:r>
          </w:p>
          <w:p w:rsidR="000F325E" w:rsidRDefault="00B45048">
            <w:r>
              <w:t>USA: Chair</w:t>
            </w:r>
          </w:p>
          <w:p w:rsidR="000F325E" w:rsidRDefault="000F325E"/>
          <w:p w:rsidR="000F325E" w:rsidRDefault="00B45048">
            <w:r>
              <w:t>“Other Arctic”</w:t>
            </w:r>
          </w:p>
          <w:p w:rsidR="000F325E" w:rsidRDefault="00B45048">
            <w:r>
              <w:t>RU: NAVAREA XVIII</w:t>
            </w:r>
          </w:p>
          <w:p w:rsidR="000F325E" w:rsidRDefault="005D378E">
            <w:r>
              <w:lastRenderedPageBreak/>
              <w:t>UK:  NAVA</w:t>
            </w:r>
            <w:r w:rsidR="00B45048">
              <w:t>REA IV &amp; XII (Southeast Greenland)</w:t>
            </w:r>
          </w:p>
          <w:p w:rsidR="000F325E" w:rsidRDefault="00B45048">
            <w:r>
              <w:t>USA:  NAVAREA IV (Bering sea)</w:t>
            </w:r>
          </w:p>
        </w:tc>
      </w:tr>
      <w:tr w:rsidR="000F325E" w:rsidTr="005D378E">
        <w:tc>
          <w:tcPr>
            <w:tcW w:w="1795" w:type="dxa"/>
          </w:tcPr>
          <w:p w:rsidR="000F325E" w:rsidRDefault="00B45048">
            <w:r>
              <w:lastRenderedPageBreak/>
              <w:t>7.c CBSC</w:t>
            </w:r>
          </w:p>
        </w:tc>
        <w:tc>
          <w:tcPr>
            <w:tcW w:w="8075" w:type="dxa"/>
          </w:tcPr>
          <w:p w:rsidR="000F325E" w:rsidRDefault="005D378E">
            <w:r>
              <w:t xml:space="preserve">7. </w:t>
            </w:r>
            <w:r w:rsidR="00B45048">
              <w:t>Encourage MSs to engage with their IMO delegations to provide support to the IMO Member States that are not IHO Members to comply with SOLAS Chapter V.</w:t>
            </w:r>
          </w:p>
        </w:tc>
        <w:tc>
          <w:tcPr>
            <w:tcW w:w="3645" w:type="dxa"/>
          </w:tcPr>
          <w:p w:rsidR="000F325E" w:rsidRDefault="00B45048">
            <w:r>
              <w:t>ALL IHO member states on the ARHC are IMO member states</w:t>
            </w:r>
          </w:p>
        </w:tc>
      </w:tr>
      <w:tr w:rsidR="000F325E" w:rsidTr="005D378E">
        <w:tc>
          <w:tcPr>
            <w:tcW w:w="1795" w:type="dxa"/>
          </w:tcPr>
          <w:p w:rsidR="000F325E" w:rsidRDefault="000F325E"/>
        </w:tc>
        <w:tc>
          <w:tcPr>
            <w:tcW w:w="8075" w:type="dxa"/>
          </w:tcPr>
          <w:p w:rsidR="000F325E" w:rsidRDefault="00B45048" w:rsidP="005D378E">
            <w:r>
              <w:t>8.</w:t>
            </w:r>
            <w:r w:rsidR="005D378E">
              <w:t xml:space="preserve"> </w:t>
            </w:r>
            <w:r>
              <w:t>Encourage Member States to provide CATZOC information for C-55, directly or via RENCs as an interim solution introducing CATZOC information.</w:t>
            </w:r>
          </w:p>
        </w:tc>
        <w:tc>
          <w:tcPr>
            <w:tcW w:w="3645" w:type="dxa"/>
          </w:tcPr>
          <w:p w:rsidR="000F325E" w:rsidRDefault="00B45048">
            <w:r>
              <w:t xml:space="preserve">see Chart Adequacy Report </w:t>
            </w:r>
          </w:p>
        </w:tc>
      </w:tr>
      <w:tr w:rsidR="000F325E" w:rsidTr="005D378E">
        <w:tc>
          <w:tcPr>
            <w:tcW w:w="1795" w:type="dxa"/>
          </w:tcPr>
          <w:p w:rsidR="000F325E" w:rsidRDefault="00B45048">
            <w:r>
              <w:t>7.d WENDWG</w:t>
            </w:r>
          </w:p>
        </w:tc>
        <w:tc>
          <w:tcPr>
            <w:tcW w:w="8075" w:type="dxa"/>
          </w:tcPr>
          <w:p w:rsidR="000F325E" w:rsidRDefault="00B45048" w:rsidP="005D378E">
            <w:r>
              <w:t>9.</w:t>
            </w:r>
            <w:r w:rsidR="005D378E">
              <w:t xml:space="preserve"> </w:t>
            </w:r>
            <w:r>
              <w:t>Reinforce the fact that the one-year “clock” to resolve overlaps should begin once the overlapping issues have been reported to ENC producers (as stated in paragraph 5 of the new adopted IHO Resolution 1/2018 – IHO CL 19/2018 refers).</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10.</w:t>
            </w:r>
            <w:r w:rsidR="005D378E">
              <w:t xml:space="preserve"> </w:t>
            </w:r>
            <w:r>
              <w:t>Endorse that the management of overlap cases should be implemented by RHCs.</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11.</w:t>
            </w:r>
            <w:r w:rsidR="005D378E">
              <w:t xml:space="preserve"> </w:t>
            </w:r>
            <w:r>
              <w:t>Note that RHCs should make their own assessment of the level of navigational risk for ENC overlaps using one of the RENCs' Policy on Risk Assessment as a first step where applicable.</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
              <w:t>12.</w:t>
            </w:r>
            <w:r w:rsidR="005D378E">
              <w:t xml:space="preserve"> </w:t>
            </w:r>
            <w:r>
              <w:t xml:space="preserve">Encourage RHCs to provide updated reports on the implementation of ENC Schemes to the WENDWG in advance of the yearly WG meeting. </w:t>
            </w:r>
          </w:p>
          <w:p w:rsidR="000F325E" w:rsidRDefault="000F325E"/>
          <w:p w:rsidR="000F325E" w:rsidRDefault="00B45048">
            <w:r>
              <w:t xml:space="preserve">NOTE:  </w:t>
            </w:r>
            <w:r>
              <w:rPr>
                <w:rFonts w:ascii="Verdana" w:eastAsia="Verdana" w:hAnsi="Verdana" w:cs="Verdana"/>
                <w:sz w:val="20"/>
                <w:szCs w:val="20"/>
              </w:rPr>
              <w:t>ARHC8-C2 Rev1, ARHC8-C2b &amp;  ARHC8-C2c</w:t>
            </w:r>
          </w:p>
        </w:tc>
        <w:tc>
          <w:tcPr>
            <w:tcW w:w="3645" w:type="dxa"/>
          </w:tcPr>
          <w:p w:rsidR="000F325E" w:rsidRDefault="00B45048">
            <w:r>
              <w:t>Joint RENC/WENDWG9 Brest, France 26-28 February 2019</w:t>
            </w:r>
          </w:p>
          <w:p w:rsidR="000F325E" w:rsidRDefault="000F325E"/>
        </w:tc>
      </w:tr>
      <w:tr w:rsidR="000F325E" w:rsidTr="005D378E">
        <w:tc>
          <w:tcPr>
            <w:tcW w:w="1795" w:type="dxa"/>
          </w:tcPr>
          <w:p w:rsidR="000F325E" w:rsidRDefault="000F325E"/>
        </w:tc>
        <w:tc>
          <w:tcPr>
            <w:tcW w:w="8075" w:type="dxa"/>
          </w:tcPr>
          <w:p w:rsidR="000F325E" w:rsidRDefault="00B45048" w:rsidP="005D378E">
            <w:r>
              <w:t>13.</w:t>
            </w:r>
            <w:r w:rsidR="005D378E">
              <w:t xml:space="preserve"> </w:t>
            </w:r>
            <w:r>
              <w:t>Note the recommendation that RENCs might consider offering a S-57 license management service to support safety of navigation for all classes of vessels.</w:t>
            </w:r>
          </w:p>
        </w:tc>
        <w:tc>
          <w:tcPr>
            <w:tcW w:w="3645" w:type="dxa"/>
          </w:tcPr>
          <w:p w:rsidR="000F325E" w:rsidRDefault="00B45048">
            <w:r>
              <w:t>NOTED at ARHC-8</w:t>
            </w:r>
          </w:p>
        </w:tc>
      </w:tr>
      <w:tr w:rsidR="000F325E" w:rsidTr="005D378E">
        <w:tc>
          <w:tcPr>
            <w:tcW w:w="1795" w:type="dxa"/>
          </w:tcPr>
          <w:p w:rsidR="000F325E" w:rsidRDefault="00B45048">
            <w:r>
              <w:t>7.g CSBWG</w:t>
            </w:r>
          </w:p>
        </w:tc>
        <w:tc>
          <w:tcPr>
            <w:tcW w:w="8075" w:type="dxa"/>
          </w:tcPr>
          <w:p w:rsidR="000F325E" w:rsidRDefault="00B45048" w:rsidP="005D378E">
            <w:r>
              <w:t>14.</w:t>
            </w:r>
            <w:r w:rsidR="005D378E">
              <w:t xml:space="preserve"> </w:t>
            </w:r>
            <w:r>
              <w:t>Encourage IHO Member States to release datasets or subsets into the public domain via the IHO DCDB;</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15.</w:t>
            </w:r>
            <w:r w:rsidR="005D378E">
              <w:t xml:space="preserve"> </w:t>
            </w:r>
            <w:r>
              <w:t>Request IHO Member States to state their policy on data gathering restrictions within their maritime areas of jurisdiction to enable CSB activities to be undertaken;</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16.</w:t>
            </w:r>
            <w:r w:rsidR="005D378E">
              <w:t xml:space="preserve"> </w:t>
            </w:r>
            <w:r>
              <w:t>Request IHO Member States to support the CSB initiative with positive actions, such as requiring all research vessels collect bathymetric data for late uploading, when on passage or when it does not interfere with other research activities;</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17.</w:t>
            </w:r>
            <w:r w:rsidR="005D378E">
              <w:t xml:space="preserve"> </w:t>
            </w:r>
            <w:r>
              <w:t>Request the IHO Member States to promote a scaled trial of CSB data collection as a follow on to earlier pilot programs.</w:t>
            </w:r>
          </w:p>
        </w:tc>
        <w:tc>
          <w:tcPr>
            <w:tcW w:w="3645" w:type="dxa"/>
          </w:tcPr>
          <w:p w:rsidR="000F325E" w:rsidRDefault="00B45048">
            <w:r>
              <w:t>The US is making strides with the Voluntary Observing Ship Program by developing a bathy module that will log depth and submit data to the DCDB.</w:t>
            </w:r>
          </w:p>
        </w:tc>
      </w:tr>
      <w:tr w:rsidR="000F325E" w:rsidTr="005D378E">
        <w:tc>
          <w:tcPr>
            <w:tcW w:w="1795" w:type="dxa"/>
          </w:tcPr>
          <w:p w:rsidR="000F325E" w:rsidRDefault="00B45048">
            <w:r>
              <w:lastRenderedPageBreak/>
              <w:t>7.i GEBCOI (GGC)</w:t>
            </w:r>
          </w:p>
        </w:tc>
        <w:tc>
          <w:tcPr>
            <w:tcW w:w="8075" w:type="dxa"/>
          </w:tcPr>
          <w:p w:rsidR="000F325E" w:rsidRDefault="00B45048" w:rsidP="005D378E">
            <w:r>
              <w:t>18.</w:t>
            </w:r>
            <w:r w:rsidR="005D378E">
              <w:t xml:space="preserve"> </w:t>
            </w:r>
            <w:r>
              <w:t>Continue to encourage RHCs to organize contribution of bathymetric data in shallower coastal areas from their member states to GEBCO in order to support the production of higher resolution gridded data products of GEBCO;</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19.</w:t>
            </w:r>
            <w:r w:rsidR="005D378E">
              <w:t xml:space="preserve"> </w:t>
            </w:r>
            <w:r>
              <w:t>Encourage RHCs to invite and communicate with GEBCO members to their meetings</w:t>
            </w:r>
          </w:p>
        </w:tc>
        <w:tc>
          <w:tcPr>
            <w:tcW w:w="3645" w:type="dxa"/>
          </w:tcPr>
          <w:p w:rsidR="000F325E" w:rsidRDefault="000F325E"/>
        </w:tc>
      </w:tr>
      <w:tr w:rsidR="000F325E" w:rsidTr="005D378E">
        <w:tc>
          <w:tcPr>
            <w:tcW w:w="1795" w:type="dxa"/>
          </w:tcPr>
          <w:p w:rsidR="000F325E" w:rsidRDefault="00B45048">
            <w:r>
              <w:t>9.c Tides Paper</w:t>
            </w:r>
          </w:p>
        </w:tc>
        <w:tc>
          <w:tcPr>
            <w:tcW w:w="8075" w:type="dxa"/>
          </w:tcPr>
          <w:p w:rsidR="000F325E" w:rsidRDefault="00B45048" w:rsidP="005D378E">
            <w:r>
              <w:t>22.</w:t>
            </w:r>
            <w:r w:rsidR="005D378E">
              <w:t xml:space="preserve"> </w:t>
            </w:r>
            <w:r>
              <w:t>encourage RHCs to use the tides, water level and currents training material developed and the training resource offered by the TWCWG in their capacity building work programmes;</w:t>
            </w:r>
          </w:p>
        </w:tc>
        <w:tc>
          <w:tcPr>
            <w:tcW w:w="3645" w:type="dxa"/>
          </w:tcPr>
          <w:p w:rsidR="000F325E" w:rsidRDefault="000F325E"/>
        </w:tc>
      </w:tr>
      <w:tr w:rsidR="000F325E" w:rsidTr="005D378E">
        <w:tc>
          <w:tcPr>
            <w:tcW w:w="1795" w:type="dxa"/>
          </w:tcPr>
          <w:p w:rsidR="000F325E" w:rsidRDefault="000F325E"/>
        </w:tc>
        <w:tc>
          <w:tcPr>
            <w:tcW w:w="8075" w:type="dxa"/>
          </w:tcPr>
          <w:p w:rsidR="000F325E" w:rsidRDefault="00B45048" w:rsidP="005D378E">
            <w:r>
              <w:t>23.</w:t>
            </w:r>
            <w:r w:rsidR="005D378E">
              <w:t xml:space="preserve"> </w:t>
            </w:r>
            <w:r>
              <w:t>invite RHCs to encourage States in the region to contribute to the inventory of tide gauges and current meters;</w:t>
            </w:r>
          </w:p>
        </w:tc>
        <w:tc>
          <w:tcPr>
            <w:tcW w:w="3645" w:type="dxa"/>
          </w:tcPr>
          <w:p w:rsidR="000F325E" w:rsidRDefault="000F325E"/>
        </w:tc>
      </w:tr>
    </w:tbl>
    <w:p w:rsidR="000F325E" w:rsidRDefault="000F325E"/>
    <w:p w:rsidR="000F325E" w:rsidRDefault="00B45048">
      <w:pPr>
        <w:rPr>
          <w:b/>
        </w:rPr>
      </w:pPr>
      <w:r>
        <w:rPr>
          <w:b/>
        </w:rPr>
        <w:t>From Review of IRCC Report to Council-2</w:t>
      </w:r>
      <w:r>
        <w:rPr>
          <w:b/>
          <w:vertAlign w:val="superscript"/>
        </w:rPr>
        <w:footnoteReference w:id="1"/>
      </w:r>
    </w:p>
    <w:p w:rsidR="000F325E" w:rsidRDefault="00B45048">
      <w:pPr>
        <w:numPr>
          <w:ilvl w:val="0"/>
          <w:numId w:val="1"/>
        </w:numPr>
        <w:pBdr>
          <w:top w:val="nil"/>
          <w:left w:val="nil"/>
          <w:bottom w:val="nil"/>
          <w:right w:val="nil"/>
          <w:between w:val="nil"/>
        </w:pBdr>
        <w:spacing w:after="0"/>
        <w:contextualSpacing/>
      </w:pPr>
      <w:r>
        <w:rPr>
          <w:color w:val="000000"/>
        </w:rPr>
        <w:t xml:space="preserve">No significant changes from challenges reported in C-1 </w:t>
      </w:r>
    </w:p>
    <w:p w:rsidR="000F325E" w:rsidRDefault="00B45048">
      <w:pPr>
        <w:pBdr>
          <w:top w:val="nil"/>
          <w:left w:val="nil"/>
          <w:bottom w:val="nil"/>
          <w:right w:val="nil"/>
          <w:between w:val="nil"/>
        </w:pBdr>
        <w:spacing w:after="0"/>
        <w:ind w:left="720"/>
        <w:rPr>
          <w:i/>
          <w:sz w:val="20"/>
          <w:szCs w:val="20"/>
          <w:highlight w:val="white"/>
        </w:rPr>
      </w:pPr>
      <w:r>
        <w:rPr>
          <w:color w:val="000000"/>
        </w:rPr>
        <w:t>(</w:t>
      </w:r>
      <w:r>
        <w:rPr>
          <w:i/>
          <w:color w:val="000000"/>
          <w:sz w:val="20"/>
          <w:szCs w:val="20"/>
        </w:rPr>
        <w:t>Reference extracted</w:t>
      </w:r>
      <w:r>
        <w:rPr>
          <w:i/>
          <w:color w:val="000000"/>
          <w:sz w:val="20"/>
          <w:szCs w:val="20"/>
          <w:highlight w:val="white"/>
        </w:rPr>
        <w:t xml:space="preserve"> </w:t>
      </w:r>
      <w:r>
        <w:rPr>
          <w:i/>
          <w:sz w:val="20"/>
          <w:szCs w:val="20"/>
          <w:highlight w:val="white"/>
        </w:rPr>
        <w:t xml:space="preserve">From C-1 IRCC Report </w:t>
      </w:r>
    </w:p>
    <w:p w:rsidR="000F325E" w:rsidRDefault="00B45048">
      <w:pPr>
        <w:pBdr>
          <w:top w:val="nil"/>
          <w:left w:val="nil"/>
          <w:bottom w:val="nil"/>
          <w:right w:val="nil"/>
          <w:between w:val="nil"/>
        </w:pBdr>
        <w:spacing w:after="0"/>
        <w:ind w:left="720"/>
        <w:rPr>
          <w:i/>
          <w:color w:val="000000"/>
          <w:sz w:val="20"/>
          <w:szCs w:val="20"/>
        </w:rPr>
      </w:pPr>
      <w:r>
        <w:rPr>
          <w:i/>
          <w:color w:val="000000"/>
          <w:sz w:val="20"/>
          <w:szCs w:val="20"/>
        </w:rPr>
        <w:t xml:space="preserve">Difficulties and challenges yet to be addressed </w:t>
      </w:r>
    </w:p>
    <w:p w:rsidR="000F325E" w:rsidRDefault="00B45048">
      <w:pPr>
        <w:pBdr>
          <w:top w:val="nil"/>
          <w:left w:val="nil"/>
          <w:bottom w:val="nil"/>
          <w:right w:val="nil"/>
          <w:between w:val="nil"/>
        </w:pBdr>
        <w:spacing w:after="0"/>
        <w:ind w:left="720"/>
        <w:rPr>
          <w:i/>
          <w:color w:val="000000"/>
          <w:sz w:val="20"/>
          <w:szCs w:val="20"/>
        </w:rPr>
      </w:pPr>
      <w:r>
        <w:rPr>
          <w:i/>
          <w:color w:val="000000"/>
          <w:sz w:val="20"/>
          <w:szCs w:val="20"/>
        </w:rPr>
        <w:t>Secretariat resources available to support the IHO Capacity Building Programme. 4. Personnel resources in the IHO Secretariat available to provide administrative support to the IHO Capacity Building (CB) Programme and also to the International Board on Standards of Competence for Hydrographic Surveyors and Nautical Cartographers (IBSC) are stretched. This is due to the significant increase in the level of activities of both of these bodies. This was noted by EIHC5 (Decision No.2) and further reported by the IHO Secretariat to the 1st Session of the IHO Assembly. This shortfall has been raised and was considered at the ninth meeting of the IRCC in June 2017 and the recruitment of additional staff to assist the CB activities has been endorsed in principle by the IRCC. A Proposal to Increase the Capacity Building Support at the IHO Secretariat is provided in Annex-A.)</w:t>
      </w:r>
    </w:p>
    <w:p w:rsidR="000F325E" w:rsidRDefault="00B45048">
      <w:pPr>
        <w:numPr>
          <w:ilvl w:val="0"/>
          <w:numId w:val="1"/>
        </w:numPr>
        <w:pBdr>
          <w:top w:val="nil"/>
          <w:left w:val="nil"/>
          <w:bottom w:val="nil"/>
          <w:right w:val="nil"/>
          <w:between w:val="nil"/>
        </w:pBdr>
        <w:spacing w:after="0"/>
        <w:contextualSpacing/>
      </w:pPr>
      <w:r>
        <w:rPr>
          <w:color w:val="000000"/>
        </w:rPr>
        <w:t>Key IRCC priorities for 2019 (“</w:t>
      </w:r>
      <w:r>
        <w:rPr>
          <w:i/>
          <w:color w:val="000000"/>
          <w:highlight w:val="yellow"/>
        </w:rPr>
        <w:t>paragraph 19</w:t>
      </w:r>
      <w:r>
        <w:rPr>
          <w:color w:val="000000"/>
        </w:rPr>
        <w:t>”):</w:t>
      </w:r>
    </w:p>
    <w:p w:rsidR="000F325E" w:rsidRDefault="00B45048">
      <w:pPr>
        <w:numPr>
          <w:ilvl w:val="1"/>
          <w:numId w:val="1"/>
        </w:numPr>
        <w:pBdr>
          <w:top w:val="nil"/>
          <w:left w:val="nil"/>
          <w:bottom w:val="nil"/>
          <w:right w:val="nil"/>
          <w:between w:val="nil"/>
        </w:pBdr>
        <w:spacing w:after="0"/>
        <w:contextualSpacing/>
      </w:pPr>
      <w:r>
        <w:rPr>
          <w:color w:val="000000"/>
        </w:rPr>
        <w:t xml:space="preserve">Capacity Building Provision, </w:t>
      </w:r>
    </w:p>
    <w:p w:rsidR="000F325E" w:rsidRDefault="00B45048">
      <w:pPr>
        <w:numPr>
          <w:ilvl w:val="1"/>
          <w:numId w:val="1"/>
        </w:numPr>
        <w:pBdr>
          <w:top w:val="nil"/>
          <w:left w:val="nil"/>
          <w:bottom w:val="nil"/>
          <w:right w:val="nil"/>
          <w:between w:val="nil"/>
        </w:pBdr>
        <w:spacing w:after="0"/>
        <w:contextualSpacing/>
      </w:pPr>
      <w:r>
        <w:rPr>
          <w:color w:val="000000"/>
        </w:rPr>
        <w:t xml:space="preserve">INT and ENC schemes, </w:t>
      </w:r>
    </w:p>
    <w:p w:rsidR="000F325E" w:rsidRDefault="00B45048">
      <w:pPr>
        <w:numPr>
          <w:ilvl w:val="1"/>
          <w:numId w:val="1"/>
        </w:numPr>
        <w:pBdr>
          <w:top w:val="nil"/>
          <w:left w:val="nil"/>
          <w:bottom w:val="nil"/>
          <w:right w:val="nil"/>
          <w:between w:val="nil"/>
        </w:pBdr>
        <w:spacing w:after="0"/>
        <w:contextualSpacing/>
      </w:pPr>
      <w:r>
        <w:rPr>
          <w:color w:val="000000"/>
        </w:rPr>
        <w:t xml:space="preserve">Crowd-sourced Bathymetry, </w:t>
      </w:r>
    </w:p>
    <w:p w:rsidR="000F325E" w:rsidRDefault="00B45048">
      <w:pPr>
        <w:numPr>
          <w:ilvl w:val="1"/>
          <w:numId w:val="1"/>
        </w:numPr>
        <w:pBdr>
          <w:top w:val="nil"/>
          <w:left w:val="nil"/>
          <w:bottom w:val="nil"/>
          <w:right w:val="nil"/>
          <w:between w:val="nil"/>
        </w:pBdr>
        <w:spacing w:after="0"/>
        <w:contextualSpacing/>
      </w:pPr>
      <w:r>
        <w:rPr>
          <w:color w:val="000000"/>
        </w:rPr>
        <w:t>Project Seabed 2030,</w:t>
      </w:r>
    </w:p>
    <w:p w:rsidR="000F325E" w:rsidRDefault="00B45048">
      <w:pPr>
        <w:numPr>
          <w:ilvl w:val="1"/>
          <w:numId w:val="1"/>
        </w:numPr>
        <w:pBdr>
          <w:top w:val="nil"/>
          <w:left w:val="nil"/>
          <w:bottom w:val="nil"/>
          <w:right w:val="nil"/>
          <w:between w:val="nil"/>
        </w:pBdr>
        <w:spacing w:after="0"/>
        <w:contextualSpacing/>
      </w:pPr>
      <w:r>
        <w:rPr>
          <w:color w:val="000000"/>
        </w:rPr>
        <w:t>Marine Spatial Data Infrastructures (MSDI).</w:t>
      </w:r>
    </w:p>
    <w:p w:rsidR="000F325E" w:rsidRDefault="00B45048">
      <w:pPr>
        <w:numPr>
          <w:ilvl w:val="0"/>
          <w:numId w:val="1"/>
        </w:numPr>
        <w:pBdr>
          <w:top w:val="nil"/>
          <w:left w:val="nil"/>
          <w:bottom w:val="nil"/>
          <w:right w:val="nil"/>
          <w:between w:val="nil"/>
        </w:pBdr>
        <w:spacing w:after="0"/>
        <w:contextualSpacing/>
      </w:pPr>
      <w:r>
        <w:rPr>
          <w:color w:val="000000"/>
        </w:rPr>
        <w:t>IRCC requests actions of the C-2</w:t>
      </w:r>
    </w:p>
    <w:p w:rsidR="000F325E" w:rsidRDefault="00B45048">
      <w:pPr>
        <w:numPr>
          <w:ilvl w:val="1"/>
          <w:numId w:val="1"/>
        </w:numPr>
        <w:pBdr>
          <w:top w:val="nil"/>
          <w:left w:val="nil"/>
          <w:bottom w:val="nil"/>
          <w:right w:val="nil"/>
          <w:between w:val="nil"/>
        </w:pBdr>
        <w:spacing w:after="0"/>
        <w:contextualSpacing/>
      </w:pPr>
      <w:r>
        <w:rPr>
          <w:color w:val="000000"/>
        </w:rPr>
        <w:t>endorse the amendments to the IRCC ToRs and RoPs (see Annex A, red-line and clean versions);</w:t>
      </w:r>
    </w:p>
    <w:p w:rsidR="000F325E" w:rsidRDefault="00B45048">
      <w:pPr>
        <w:numPr>
          <w:ilvl w:val="1"/>
          <w:numId w:val="1"/>
        </w:numPr>
        <w:pBdr>
          <w:top w:val="nil"/>
          <w:left w:val="nil"/>
          <w:bottom w:val="nil"/>
          <w:right w:val="nil"/>
          <w:between w:val="nil"/>
        </w:pBdr>
        <w:spacing w:after="0"/>
        <w:contextualSpacing/>
      </w:pPr>
      <w:r>
        <w:rPr>
          <w:color w:val="000000"/>
        </w:rPr>
        <w:t xml:space="preserve"> endorse the amendments to the IHO Resolution 2/1997 (see Annex B, red-line and clean versions);</w:t>
      </w:r>
    </w:p>
    <w:p w:rsidR="000F325E" w:rsidRDefault="00B45048">
      <w:pPr>
        <w:numPr>
          <w:ilvl w:val="1"/>
          <w:numId w:val="1"/>
        </w:numPr>
        <w:pBdr>
          <w:top w:val="nil"/>
          <w:left w:val="nil"/>
          <w:bottom w:val="nil"/>
          <w:right w:val="nil"/>
          <w:between w:val="nil"/>
        </w:pBdr>
        <w:spacing w:after="0"/>
        <w:contextualSpacing/>
      </w:pPr>
      <w:r>
        <w:rPr>
          <w:color w:val="000000"/>
        </w:rPr>
        <w:t>endorse the amendments to the CBSC ToRs and RoPs (see Annex C, red-line and clean    versions);</w:t>
      </w:r>
    </w:p>
    <w:p w:rsidR="000F325E" w:rsidRDefault="00B45048">
      <w:pPr>
        <w:numPr>
          <w:ilvl w:val="1"/>
          <w:numId w:val="1"/>
        </w:numPr>
        <w:pBdr>
          <w:top w:val="nil"/>
          <w:left w:val="nil"/>
          <w:bottom w:val="nil"/>
          <w:right w:val="nil"/>
          <w:between w:val="nil"/>
        </w:pBdr>
        <w:spacing w:after="0"/>
        <w:contextualSpacing/>
      </w:pPr>
      <w:r>
        <w:rPr>
          <w:color w:val="000000"/>
        </w:rPr>
        <w:t>endorse the Crowd-Sourced Bathymetry Guidance Document (see Annex D);</w:t>
      </w:r>
    </w:p>
    <w:p w:rsidR="000F325E" w:rsidRDefault="00B45048">
      <w:pPr>
        <w:numPr>
          <w:ilvl w:val="1"/>
          <w:numId w:val="1"/>
        </w:numPr>
        <w:pBdr>
          <w:top w:val="nil"/>
          <w:left w:val="nil"/>
          <w:bottom w:val="nil"/>
          <w:right w:val="nil"/>
          <w:between w:val="nil"/>
        </w:pBdr>
        <w:spacing w:after="0"/>
        <w:contextualSpacing/>
      </w:pPr>
      <w:r>
        <w:rPr>
          <w:color w:val="000000"/>
        </w:rPr>
        <w:t>endorse the amendments to the IHO Resolution 6/2009 (see Annex F, red-line and clean version);</w:t>
      </w:r>
    </w:p>
    <w:p w:rsidR="000F325E" w:rsidRDefault="00B45048">
      <w:pPr>
        <w:numPr>
          <w:ilvl w:val="1"/>
          <w:numId w:val="1"/>
        </w:numPr>
        <w:pBdr>
          <w:top w:val="nil"/>
          <w:left w:val="nil"/>
          <w:bottom w:val="nil"/>
          <w:right w:val="nil"/>
          <w:between w:val="nil"/>
        </w:pBdr>
        <w:spacing w:after="0"/>
        <w:contextualSpacing/>
      </w:pPr>
      <w:r>
        <w:rPr>
          <w:color w:val="000000"/>
        </w:rPr>
        <w:t>endorse the proposed IRCC key priorities of the IHO Work Programme for 2019 listed in Paragraph 19 of this report;</w:t>
      </w:r>
    </w:p>
    <w:p w:rsidR="000F325E" w:rsidRDefault="00B45048">
      <w:pPr>
        <w:numPr>
          <w:ilvl w:val="1"/>
          <w:numId w:val="1"/>
        </w:numPr>
        <w:pBdr>
          <w:top w:val="nil"/>
          <w:left w:val="nil"/>
          <w:bottom w:val="nil"/>
          <w:right w:val="nil"/>
          <w:between w:val="nil"/>
        </w:pBdr>
        <w:spacing w:after="0"/>
        <w:contextualSpacing/>
      </w:pPr>
      <w:r>
        <w:rPr>
          <w:color w:val="000000"/>
        </w:rPr>
        <w:t>acknowledge the work done by the IBSC in the development of the new Standards of Competence for Hydrographic Surveyors and Nautical Cartographers;</w:t>
      </w:r>
    </w:p>
    <w:p w:rsidR="000F325E" w:rsidRDefault="00B45048">
      <w:pPr>
        <w:numPr>
          <w:ilvl w:val="1"/>
          <w:numId w:val="1"/>
        </w:numPr>
        <w:pBdr>
          <w:top w:val="nil"/>
          <w:left w:val="nil"/>
          <w:bottom w:val="nil"/>
          <w:right w:val="nil"/>
          <w:between w:val="nil"/>
        </w:pBdr>
        <w:spacing w:after="0"/>
        <w:contextualSpacing/>
      </w:pPr>
      <w:r>
        <w:rPr>
          <w:color w:val="000000"/>
        </w:rPr>
        <w:t>acknowledge the work done by both RENCs on their high-quality support to hydrographic  offices and end-user service providers and for their contribution to Joint-RENC technical meetings;</w:t>
      </w:r>
    </w:p>
    <w:p w:rsidR="000F325E" w:rsidRDefault="00B45048">
      <w:pPr>
        <w:numPr>
          <w:ilvl w:val="1"/>
          <w:numId w:val="1"/>
        </w:numPr>
        <w:pBdr>
          <w:top w:val="nil"/>
          <w:left w:val="nil"/>
          <w:bottom w:val="nil"/>
          <w:right w:val="nil"/>
          <w:between w:val="nil"/>
        </w:pBdr>
        <w:spacing w:after="0"/>
        <w:contextualSpacing/>
      </w:pPr>
      <w:r>
        <w:rPr>
          <w:color w:val="000000"/>
        </w:rPr>
        <w:t>acknowledge the work done by the CSBWG in the producing of the draft CSB Guidance Document;</w:t>
      </w:r>
    </w:p>
    <w:p w:rsidR="000F325E" w:rsidRDefault="000F325E">
      <w:pPr>
        <w:pBdr>
          <w:top w:val="nil"/>
          <w:left w:val="nil"/>
          <w:bottom w:val="nil"/>
          <w:right w:val="nil"/>
          <w:between w:val="nil"/>
        </w:pBdr>
        <w:ind w:left="1440" w:hanging="720"/>
        <w:rPr>
          <w:color w:val="000000"/>
        </w:rPr>
      </w:pPr>
    </w:p>
    <w:p w:rsidR="000F325E" w:rsidRDefault="00B45048">
      <w:pPr>
        <w:rPr>
          <w:b/>
        </w:rPr>
      </w:pPr>
      <w:r>
        <w:rPr>
          <w:b/>
        </w:rPr>
        <w:t>Other opportunities where the ARHC might take actions at its upcoming meeting.</w:t>
      </w:r>
    </w:p>
    <w:tbl>
      <w:tblPr>
        <w:tblStyle w:val="a0"/>
        <w:tblW w:w="1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0"/>
        <w:gridCol w:w="3630"/>
      </w:tblGrid>
      <w:tr w:rsidR="000F325E">
        <w:tc>
          <w:tcPr>
            <w:tcW w:w="9420" w:type="dxa"/>
          </w:tcPr>
          <w:p w:rsidR="000F325E" w:rsidRDefault="00B45048">
            <w:r>
              <w:t>Review RHC membership in UNGGIM Marine Working Group by MS (who is participating? Who should?)</w:t>
            </w:r>
          </w:p>
          <w:p w:rsidR="000F325E" w:rsidRDefault="000F325E"/>
          <w:p w:rsidR="000F325E" w:rsidRDefault="00B45048">
            <w:r>
              <w:t xml:space="preserve">website: </w:t>
            </w:r>
            <w:hyperlink r:id="rId8">
              <w:r>
                <w:rPr>
                  <w:color w:val="1155CC"/>
                  <w:u w:val="single"/>
                </w:rPr>
                <w:t>http://ggim.un.org/UNGGIM-wg8/</w:t>
              </w:r>
            </w:hyperlink>
          </w:p>
          <w:p w:rsidR="000F325E" w:rsidRDefault="00B45048">
            <w:r>
              <w:t xml:space="preserve">2018/2019 Workplan:  </w:t>
            </w:r>
            <w:hyperlink r:id="rId9">
              <w:r>
                <w:rPr>
                  <w:color w:val="1155CC"/>
                  <w:u w:val="single"/>
                </w:rPr>
                <w:t>http://ggim.un.org/documents/WG_MGI_Work_Plan_2018-19.pdf</w:t>
              </w:r>
            </w:hyperlink>
            <w:r>
              <w:t xml:space="preserve"> </w:t>
            </w:r>
          </w:p>
        </w:tc>
        <w:tc>
          <w:tcPr>
            <w:tcW w:w="3630" w:type="dxa"/>
          </w:tcPr>
          <w:p w:rsidR="000F325E" w:rsidRDefault="00B45048">
            <w:r>
              <w:t>ARHC participation in UNGGIM MWG is robust:</w:t>
            </w:r>
          </w:p>
          <w:p w:rsidR="000F325E" w:rsidRDefault="00B45048">
            <w:r>
              <w:t>Denmark, Italy, Norway, USA, IHO and</w:t>
            </w:r>
          </w:p>
          <w:p w:rsidR="000F325E" w:rsidRDefault="00B45048">
            <w:r>
              <w:t>UK (pending application to ARHC)</w:t>
            </w:r>
          </w:p>
        </w:tc>
      </w:tr>
      <w:tr w:rsidR="000F325E">
        <w:tc>
          <w:tcPr>
            <w:tcW w:w="9420" w:type="dxa"/>
          </w:tcPr>
          <w:p w:rsidR="000F325E" w:rsidRDefault="00B45048">
            <w:r>
              <w:t xml:space="preserve">Review IHO Work Program for IRCC (Program 3) to populate with RHC relevant activities.  See work program element 3.2 of the draft 2019 work program line item  3.2.1.1 (ARHC) </w:t>
            </w:r>
          </w:p>
        </w:tc>
        <w:tc>
          <w:tcPr>
            <w:tcW w:w="3630" w:type="dxa"/>
          </w:tcPr>
          <w:p w:rsidR="000F325E" w:rsidRDefault="00B45048">
            <w:r>
              <w:rPr>
                <w:b/>
                <w:u w:val="single"/>
              </w:rPr>
              <w:t>2019</w:t>
            </w:r>
            <w:r>
              <w:t>: RHC  consider identifying a major deliverable for 2019 and requesting RU to offer at C-2</w:t>
            </w:r>
          </w:p>
          <w:p w:rsidR="000F325E" w:rsidRDefault="00B45048">
            <w:r>
              <w:rPr>
                <w:b/>
                <w:u w:val="single"/>
              </w:rPr>
              <w:t>2020</w:t>
            </w:r>
            <w:r>
              <w:t>: identify a deliverable for 2020 and prepare to submit to IRCC-11 in Genoa for inclusion in the 2020 work programme</w:t>
            </w:r>
          </w:p>
        </w:tc>
      </w:tr>
      <w:tr w:rsidR="000F325E">
        <w:tc>
          <w:tcPr>
            <w:tcW w:w="9420" w:type="dxa"/>
          </w:tcPr>
          <w:p w:rsidR="000F325E" w:rsidRDefault="00B45048">
            <w:r>
              <w:t xml:space="preserve">Consider performance measures- how do the RHCs want to be measured?  How does ARHC want to be measured?  This topic will likely be coming up in the IRCC and perhaps the SPRWG.  </w:t>
            </w:r>
          </w:p>
        </w:tc>
        <w:tc>
          <w:tcPr>
            <w:tcW w:w="3630" w:type="dxa"/>
          </w:tcPr>
          <w:p w:rsidR="000F325E" w:rsidRDefault="00B45048">
            <w:r>
              <w:t>Discuss at ARHC-8</w:t>
            </w:r>
          </w:p>
        </w:tc>
      </w:tr>
    </w:tbl>
    <w:p w:rsidR="000F325E" w:rsidRDefault="000F325E"/>
    <w:sectPr w:rsidR="000F325E">
      <w:headerReference w:type="even" r:id="rId10"/>
      <w:headerReference w:type="default" r:id="rId11"/>
      <w:footerReference w:type="even" r:id="rId12"/>
      <w:footerReference w:type="default" r:id="rId13"/>
      <w:headerReference w:type="first" r:id="rId14"/>
      <w:footerReference w:type="first" r:id="rId15"/>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87" w:rsidRDefault="00D53B87">
      <w:pPr>
        <w:spacing w:after="0" w:line="240" w:lineRule="auto"/>
      </w:pPr>
      <w:r>
        <w:separator/>
      </w:r>
    </w:p>
  </w:endnote>
  <w:endnote w:type="continuationSeparator" w:id="0">
    <w:p w:rsidR="00D53B87" w:rsidRDefault="00D5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50" w:rsidRDefault="00E74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50" w:rsidRDefault="00E74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50" w:rsidRDefault="00E74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87" w:rsidRDefault="00D53B87">
      <w:pPr>
        <w:spacing w:after="0" w:line="240" w:lineRule="auto"/>
      </w:pPr>
      <w:r>
        <w:separator/>
      </w:r>
    </w:p>
  </w:footnote>
  <w:footnote w:type="continuationSeparator" w:id="0">
    <w:p w:rsidR="00D53B87" w:rsidRDefault="00D53B87">
      <w:pPr>
        <w:spacing w:after="0" w:line="240" w:lineRule="auto"/>
      </w:pPr>
      <w:r>
        <w:continuationSeparator/>
      </w:r>
    </w:p>
  </w:footnote>
  <w:footnote w:id="1">
    <w:p w:rsidR="000F325E" w:rsidRDefault="00B450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https://www.iho.int/mtg_docs/council/C2/C2-4.2A_IRCC_Report_to_C2.pdf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50" w:rsidRDefault="00E74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622832"/>
      <w:docPartObj>
        <w:docPartGallery w:val="Watermarks"/>
        <w:docPartUnique/>
      </w:docPartObj>
    </w:sdtPr>
    <w:sdtEndPr/>
    <w:sdtContent>
      <w:p w:rsidR="00E74550" w:rsidRDefault="007A60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50" w:rsidRDefault="00E74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10BD8"/>
    <w:multiLevelType w:val="multilevel"/>
    <w:tmpl w:val="F9003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5E"/>
    <w:rsid w:val="000F325E"/>
    <w:rsid w:val="005D378E"/>
    <w:rsid w:val="007A6032"/>
    <w:rsid w:val="00B45048"/>
    <w:rsid w:val="00D53B87"/>
    <w:rsid w:val="00D82042"/>
    <w:rsid w:val="00E74550"/>
    <w:rsid w:val="00ED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355FB28-D532-496A-AE4C-036FF292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74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50"/>
  </w:style>
  <w:style w:type="paragraph" w:styleId="Footer">
    <w:name w:val="footer"/>
    <w:basedOn w:val="Normal"/>
    <w:link w:val="FooterChar"/>
    <w:uiPriority w:val="99"/>
    <w:unhideWhenUsed/>
    <w:rsid w:val="00E74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gim.un.org/UNGGIM-wg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gim.un.org/documents/WG_MGI_Work_Plan_2018-1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BC72-533D-4B21-AA6C-73E9873B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Justi</dc:creator>
  <cp:lastModifiedBy>Yves</cp:lastModifiedBy>
  <cp:revision>2</cp:revision>
  <dcterms:created xsi:type="dcterms:W3CDTF">2018-09-08T21:53:00Z</dcterms:created>
  <dcterms:modified xsi:type="dcterms:W3CDTF">2018-09-08T21:53:00Z</dcterms:modified>
</cp:coreProperties>
</file>