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7" w:rsidRPr="00FA6DAD" w:rsidRDefault="00860D27" w:rsidP="00860D27">
      <w:pPr>
        <w:jc w:val="right"/>
        <w:rPr>
          <w:rFonts w:asciiTheme="minorHAnsi" w:hAnsiTheme="minorHAnsi"/>
          <w:b/>
          <w:sz w:val="22"/>
          <w:szCs w:val="22"/>
          <w:lang w:val="en-US"/>
        </w:rPr>
      </w:pPr>
      <w:r w:rsidRPr="00FA6DAD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SCUFN</w:t>
      </w:r>
      <w:r w:rsidR="00BF5AF2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30</w:t>
      </w:r>
      <w:r w:rsidRPr="00FA6DAD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-</w:t>
      </w:r>
      <w:r w:rsidR="00773A07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0</w:t>
      </w:r>
      <w:r w:rsidR="007C5208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1D</w:t>
      </w:r>
    </w:p>
    <w:p w:rsidR="00860D27" w:rsidRPr="00FA6DAD" w:rsidRDefault="00860D27" w:rsidP="00860D27">
      <w:pPr>
        <w:pStyle w:val="Heading2"/>
        <w:jc w:val="center"/>
        <w:rPr>
          <w:rFonts w:asciiTheme="minorHAnsi" w:hAnsiTheme="minorHAnsi"/>
          <w:szCs w:val="22"/>
        </w:rPr>
      </w:pPr>
      <w:r w:rsidRPr="00FA6DAD">
        <w:rPr>
          <w:rFonts w:asciiTheme="minorHAnsi" w:hAnsiTheme="minorHAnsi"/>
          <w:szCs w:val="22"/>
        </w:rPr>
        <w:t>Paper for Consideration by SCUFN</w:t>
      </w:r>
      <w:r w:rsidRPr="00FA6DAD">
        <w:rPr>
          <w:rFonts w:asciiTheme="minorHAnsi" w:hAnsiTheme="minorHAnsi"/>
          <w:szCs w:val="22"/>
        </w:rPr>
        <w:br/>
      </w:r>
    </w:p>
    <w:p w:rsidR="00860D27" w:rsidRPr="00FA6DAD" w:rsidRDefault="007C5208" w:rsidP="00860D27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7C5208">
        <w:rPr>
          <w:rFonts w:asciiTheme="minorHAnsi" w:hAnsiTheme="minorHAnsi" w:cs="Arial"/>
          <w:b/>
          <w:sz w:val="22"/>
          <w:szCs w:val="22"/>
          <w:lang w:val="en-US"/>
        </w:rPr>
        <w:t>Amendment to the SCUFN TORs</w:t>
      </w:r>
    </w:p>
    <w:p w:rsidR="00860D27" w:rsidRPr="00FA6DAD" w:rsidRDefault="00860D27" w:rsidP="00860D27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60D27" w:rsidRPr="00FA6DAD" w:rsidRDefault="00860D27" w:rsidP="00860D27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sz w:val="22"/>
                <w:szCs w:val="22"/>
                <w:lang w:val="en-AU"/>
              </w:rPr>
              <w:br w:type="page"/>
            </w: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860D27" w:rsidRPr="00FA6DAD" w:rsidRDefault="007C5208" w:rsidP="00F8478B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SCUFN Chair and </w:t>
            </w:r>
            <w:r w:rsidR="00F8478B">
              <w:rPr>
                <w:rFonts w:asciiTheme="minorHAnsi" w:hAnsiTheme="minorHAnsi"/>
                <w:sz w:val="22"/>
                <w:szCs w:val="22"/>
                <w:lang w:val="en-AU"/>
              </w:rPr>
              <w:t>IHO</w:t>
            </w:r>
            <w:r w:rsidR="00773A07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S</w:t>
            </w:r>
            <w:r w:rsidR="00860D27" w:rsidRPr="00FA6DAD">
              <w:rPr>
                <w:rFonts w:asciiTheme="minorHAnsi" w:hAnsiTheme="minorHAnsi"/>
                <w:sz w:val="22"/>
                <w:szCs w:val="22"/>
                <w:lang w:val="en-AU"/>
              </w:rPr>
              <w:t>ecretar</w:t>
            </w:r>
            <w:r w:rsidR="00F8478B">
              <w:rPr>
                <w:rFonts w:asciiTheme="minorHAnsi" w:hAnsiTheme="minorHAnsi"/>
                <w:sz w:val="22"/>
                <w:szCs w:val="22"/>
                <w:lang w:val="en-AU"/>
              </w:rPr>
              <w:t>iat (as SCUFN Secretariat)</w:t>
            </w:r>
          </w:p>
        </w:tc>
      </w:tr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860D27" w:rsidRPr="00FA6DAD" w:rsidRDefault="00DF50EF" w:rsidP="00385B08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This document </w:t>
            </w:r>
            <w:r w:rsidR="007C520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proposes an amendment to Clause 2.10 of the SCUFN terms of reference, with a view to </w:t>
            </w:r>
            <w:r w:rsidR="00385B0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facilitate and consolidate the decision making process within </w:t>
            </w:r>
            <w:r w:rsidR="007C520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SCUFN </w:t>
            </w:r>
            <w:r w:rsidR="00385B08">
              <w:rPr>
                <w:rFonts w:asciiTheme="minorHAnsi" w:hAnsiTheme="minorHAnsi"/>
                <w:sz w:val="22"/>
                <w:szCs w:val="22"/>
                <w:lang w:val="en-AU"/>
              </w:rPr>
              <w:t>when the members are faced to proposals that seem politically sensitive.</w:t>
            </w:r>
          </w:p>
        </w:tc>
      </w:tr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063979" w:rsidRDefault="00954EE8" w:rsidP="008B2F30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SCUFN TO</w:t>
            </w:r>
            <w:r w:rsidR="00063979">
              <w:rPr>
                <w:rFonts w:asciiTheme="minorHAnsi" w:hAnsiTheme="minorHAnsi"/>
                <w:sz w:val="22"/>
                <w:szCs w:val="22"/>
                <w:lang w:val="en-AU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s</w:t>
            </w:r>
          </w:p>
          <w:p w:rsidR="00860D27" w:rsidRPr="00FA6DAD" w:rsidRDefault="00E2256D" w:rsidP="008B2F30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Decisions SCUFN29/1</w:t>
            </w:r>
            <w:r w:rsidR="003A24CA">
              <w:rPr>
                <w:rFonts w:asciiTheme="minorHAnsi" w:hAnsiTheme="minorHAnsi"/>
                <w:sz w:val="22"/>
                <w:szCs w:val="22"/>
                <w:lang w:val="en-AU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and SCUFN29/1</w:t>
            </w:r>
            <w:r w:rsidR="003A24CA">
              <w:rPr>
                <w:rFonts w:asciiTheme="minorHAnsi" w:hAnsiTheme="minorHAnsi"/>
                <w:sz w:val="22"/>
                <w:szCs w:val="22"/>
                <w:lang w:val="en-AU"/>
              </w:rPr>
              <w:t>17</w:t>
            </w:r>
          </w:p>
        </w:tc>
      </w:tr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860D27" w:rsidRPr="00FA6DAD" w:rsidRDefault="00860D27" w:rsidP="00860D27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N/A </w:t>
            </w:r>
          </w:p>
        </w:tc>
      </w:tr>
    </w:tbl>
    <w:p w:rsidR="00860D27" w:rsidRPr="00FA6DAD" w:rsidRDefault="00860D27" w:rsidP="00860D27">
      <w:pPr>
        <w:pStyle w:val="Heading2"/>
        <w:rPr>
          <w:rFonts w:asciiTheme="minorHAnsi" w:hAnsiTheme="minorHAnsi"/>
          <w:szCs w:val="22"/>
        </w:rPr>
      </w:pPr>
      <w:r w:rsidRPr="00FA6DAD">
        <w:rPr>
          <w:rFonts w:asciiTheme="minorHAnsi" w:hAnsiTheme="minorHAnsi"/>
          <w:szCs w:val="22"/>
        </w:rPr>
        <w:t>Introduction / Background</w:t>
      </w:r>
      <w:r w:rsidRPr="00FA6DAD">
        <w:rPr>
          <w:rFonts w:asciiTheme="minorHAnsi" w:hAnsiTheme="minorHAnsi"/>
          <w:szCs w:val="22"/>
        </w:rPr>
        <w:br/>
      </w:r>
    </w:p>
    <w:p w:rsidR="00F71E2D" w:rsidRPr="00057416" w:rsidRDefault="00860D27" w:rsidP="00622305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FA6DAD">
        <w:rPr>
          <w:rFonts w:asciiTheme="minorHAnsi" w:hAnsiTheme="minorHAnsi"/>
          <w:sz w:val="22"/>
          <w:szCs w:val="22"/>
          <w:lang w:val="en-US"/>
        </w:rPr>
        <w:t xml:space="preserve">1. </w:t>
      </w:r>
      <w:r w:rsidR="001B1A8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57416">
        <w:rPr>
          <w:rFonts w:asciiTheme="minorHAnsi" w:hAnsiTheme="minorHAnsi"/>
          <w:sz w:val="22"/>
          <w:szCs w:val="22"/>
          <w:lang w:val="en-US"/>
        </w:rPr>
        <w:t>At SCUFN20 in 2007, revised and</w:t>
      </w:r>
      <w:r w:rsidR="00954EE8">
        <w:rPr>
          <w:rFonts w:asciiTheme="minorHAnsi" w:hAnsiTheme="minorHAnsi"/>
          <w:sz w:val="22"/>
          <w:szCs w:val="22"/>
          <w:lang w:val="en-US"/>
        </w:rPr>
        <w:t xml:space="preserve"> improved terms of reference (TO</w:t>
      </w:r>
      <w:r w:rsidR="00057416">
        <w:rPr>
          <w:rFonts w:asciiTheme="minorHAnsi" w:hAnsiTheme="minorHAnsi"/>
          <w:sz w:val="22"/>
          <w:szCs w:val="22"/>
          <w:lang w:val="en-US"/>
        </w:rPr>
        <w:t>R</w:t>
      </w:r>
      <w:r w:rsidR="00954EE8">
        <w:rPr>
          <w:rFonts w:asciiTheme="minorHAnsi" w:hAnsiTheme="minorHAnsi"/>
          <w:sz w:val="22"/>
          <w:szCs w:val="22"/>
          <w:lang w:val="en-US"/>
        </w:rPr>
        <w:t>s</w:t>
      </w:r>
      <w:r w:rsidR="00057416">
        <w:rPr>
          <w:rFonts w:asciiTheme="minorHAnsi" w:hAnsiTheme="minorHAnsi"/>
          <w:sz w:val="22"/>
          <w:szCs w:val="22"/>
          <w:lang w:val="en-US"/>
        </w:rPr>
        <w:t>) were developed at the request of the GEBCO Guiding Committee</w:t>
      </w:r>
      <w:r w:rsidR="003D6872">
        <w:rPr>
          <w:rFonts w:asciiTheme="minorHAnsi" w:hAnsiTheme="minorHAnsi"/>
          <w:sz w:val="22"/>
          <w:szCs w:val="22"/>
          <w:lang w:val="en-US"/>
        </w:rPr>
        <w:t xml:space="preserve"> (GGC)</w:t>
      </w:r>
      <w:r w:rsidR="00057416">
        <w:rPr>
          <w:rFonts w:asciiTheme="minorHAnsi" w:hAnsiTheme="minorHAnsi"/>
          <w:sz w:val="22"/>
          <w:szCs w:val="22"/>
          <w:lang w:val="en-US"/>
        </w:rPr>
        <w:t xml:space="preserve">, in order to better describe </w:t>
      </w:r>
      <w:r w:rsidR="00057416" w:rsidRPr="00057416">
        <w:rPr>
          <w:rFonts w:asciiTheme="minorHAnsi" w:hAnsiTheme="minorHAnsi"/>
          <w:sz w:val="22"/>
          <w:szCs w:val="22"/>
          <w:lang w:val="en-US"/>
        </w:rPr>
        <w:t>how the Sub-Committee should conduct business</w:t>
      </w:r>
      <w:r w:rsidR="00057416">
        <w:rPr>
          <w:rFonts w:asciiTheme="minorHAnsi" w:hAnsiTheme="minorHAnsi"/>
          <w:sz w:val="22"/>
          <w:szCs w:val="22"/>
          <w:lang w:val="en-US"/>
        </w:rPr>
        <w:t>.</w:t>
      </w:r>
      <w:r w:rsidR="00F25E64">
        <w:rPr>
          <w:rFonts w:asciiTheme="minorHAnsi" w:hAnsiTheme="minorHAnsi"/>
          <w:sz w:val="22"/>
          <w:szCs w:val="22"/>
          <w:lang w:val="en-US"/>
        </w:rPr>
        <w:t xml:space="preserve"> As a result, the agreed </w:t>
      </w:r>
      <w:r w:rsidR="00954EE8">
        <w:rPr>
          <w:rFonts w:asciiTheme="minorHAnsi" w:hAnsiTheme="minorHAnsi"/>
          <w:sz w:val="22"/>
          <w:szCs w:val="22"/>
          <w:lang w:val="en-US"/>
        </w:rPr>
        <w:t>TORs</w:t>
      </w:r>
      <w:r w:rsidR="00F25E64">
        <w:rPr>
          <w:rFonts w:asciiTheme="minorHAnsi" w:hAnsiTheme="minorHAnsi"/>
          <w:sz w:val="22"/>
          <w:szCs w:val="22"/>
          <w:lang w:val="en-US"/>
        </w:rPr>
        <w:t xml:space="preserve"> included Clause 2.10 “</w:t>
      </w:r>
      <w:r w:rsidR="00F25E64" w:rsidRPr="00F25E64">
        <w:rPr>
          <w:rFonts w:asciiTheme="minorHAnsi" w:hAnsiTheme="minorHAnsi"/>
          <w:i/>
          <w:sz w:val="22"/>
          <w:szCs w:val="22"/>
          <w:lang w:val="en-US"/>
        </w:rPr>
        <w:t>The Sub-Committee will not consider undersea feature name proposals that are politically sensitive.</w:t>
      </w:r>
      <w:r w:rsidR="00F25E64">
        <w:rPr>
          <w:rFonts w:asciiTheme="minorHAnsi" w:hAnsiTheme="minorHAnsi"/>
          <w:sz w:val="22"/>
          <w:szCs w:val="22"/>
          <w:lang w:val="en-US"/>
        </w:rPr>
        <w:t>” with a view to avoid that SCUFN members be involved in political discussions.</w:t>
      </w:r>
    </w:p>
    <w:p w:rsidR="00860D27" w:rsidRPr="00057416" w:rsidRDefault="00860D27" w:rsidP="00FA6DAD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</w:p>
    <w:p w:rsidR="00390644" w:rsidRPr="00BC0E5C" w:rsidRDefault="001B1A87" w:rsidP="0039064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2.  </w:t>
      </w:r>
      <w:r w:rsidR="002842DF">
        <w:rPr>
          <w:rFonts w:asciiTheme="minorHAnsi" w:hAnsiTheme="minorHAnsi"/>
          <w:sz w:val="22"/>
          <w:szCs w:val="22"/>
          <w:lang w:val="en-US"/>
        </w:rPr>
        <w:t>The new SCUFN T</w:t>
      </w:r>
      <w:r w:rsidR="00954EE8">
        <w:rPr>
          <w:rFonts w:asciiTheme="minorHAnsi" w:hAnsiTheme="minorHAnsi"/>
          <w:sz w:val="22"/>
          <w:szCs w:val="22"/>
          <w:lang w:val="en-US"/>
        </w:rPr>
        <w:t>ORs</w:t>
      </w:r>
      <w:r w:rsidR="002842DF">
        <w:rPr>
          <w:rFonts w:asciiTheme="minorHAnsi" w:hAnsiTheme="minorHAnsi"/>
          <w:sz w:val="22"/>
          <w:szCs w:val="22"/>
          <w:lang w:val="en-US"/>
        </w:rPr>
        <w:t xml:space="preserve"> were approved by the IHO in March 2008 (CL 24/2008 refers) and by the IOC at their June 2008 Assembly.</w:t>
      </w:r>
    </w:p>
    <w:p w:rsidR="00BC0E5C" w:rsidRPr="00BC0E5C" w:rsidRDefault="00BC0E5C" w:rsidP="00D5284C">
      <w:pPr>
        <w:autoSpaceDE w:val="0"/>
        <w:autoSpaceDN w:val="0"/>
        <w:adjustRightInd w:val="0"/>
        <w:ind w:left="709"/>
        <w:rPr>
          <w:rFonts w:asciiTheme="minorHAnsi" w:hAnsiTheme="minorHAnsi"/>
          <w:sz w:val="22"/>
          <w:szCs w:val="22"/>
        </w:rPr>
      </w:pPr>
    </w:p>
    <w:p w:rsidR="00860D27" w:rsidRPr="00FA6DAD" w:rsidRDefault="00860D27" w:rsidP="00860D27">
      <w:pPr>
        <w:pStyle w:val="Title"/>
        <w:jc w:val="both"/>
        <w:rPr>
          <w:rFonts w:asciiTheme="minorHAnsi" w:hAnsiTheme="minorHAnsi"/>
          <w:lang w:val="en-US"/>
        </w:rPr>
      </w:pPr>
    </w:p>
    <w:p w:rsidR="00454077" w:rsidRDefault="0006569D" w:rsidP="0006569D">
      <w:pPr>
        <w:widowControl/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2"/>
          <w:szCs w:val="22"/>
        </w:rPr>
      </w:pPr>
      <w:r w:rsidRPr="0006569D">
        <w:rPr>
          <w:rFonts w:asciiTheme="minorHAnsi" w:hAnsiTheme="minorHAnsi"/>
          <w:b/>
          <w:bCs/>
          <w:sz w:val="22"/>
          <w:szCs w:val="22"/>
        </w:rPr>
        <w:t>Analysis/Discussion</w:t>
      </w:r>
    </w:p>
    <w:p w:rsidR="0006569D" w:rsidRPr="0037605A" w:rsidRDefault="0006569D" w:rsidP="0006569D">
      <w:pPr>
        <w:widowControl/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  <w:lang w:val="en-US"/>
        </w:rPr>
      </w:pPr>
      <w:r w:rsidRPr="0006569D">
        <w:rPr>
          <w:rFonts w:asciiTheme="minorHAnsi" w:hAnsiTheme="minorHAnsi"/>
          <w:bCs/>
          <w:sz w:val="22"/>
          <w:szCs w:val="22"/>
        </w:rPr>
        <w:t xml:space="preserve">3. </w:t>
      </w:r>
      <w:r w:rsidR="008B2F30">
        <w:rPr>
          <w:rFonts w:asciiTheme="minorHAnsi" w:hAnsiTheme="minorHAnsi"/>
          <w:bCs/>
          <w:sz w:val="22"/>
          <w:szCs w:val="22"/>
        </w:rPr>
        <w:t xml:space="preserve"> </w:t>
      </w:r>
      <w:r w:rsidR="00385B08">
        <w:rPr>
          <w:rFonts w:asciiTheme="minorHAnsi" w:hAnsiTheme="minorHAnsi"/>
          <w:bCs/>
          <w:sz w:val="22"/>
          <w:szCs w:val="22"/>
        </w:rPr>
        <w:t>Since, e</w:t>
      </w:r>
      <w:r w:rsidR="008B2F30">
        <w:rPr>
          <w:rFonts w:asciiTheme="minorHAnsi" w:hAnsiTheme="minorHAnsi"/>
          <w:bCs/>
          <w:sz w:val="22"/>
          <w:szCs w:val="22"/>
        </w:rPr>
        <w:t xml:space="preserve">xperience has shown that </w:t>
      </w:r>
      <w:r w:rsidR="00937A3E">
        <w:rPr>
          <w:rFonts w:asciiTheme="minorHAnsi" w:hAnsiTheme="minorHAnsi"/>
          <w:bCs/>
          <w:sz w:val="22"/>
          <w:szCs w:val="22"/>
        </w:rPr>
        <w:t xml:space="preserve">the terse formulation of Clause 2.10 </w:t>
      </w:r>
      <w:r w:rsidR="00385B08">
        <w:rPr>
          <w:rFonts w:asciiTheme="minorHAnsi" w:hAnsiTheme="minorHAnsi"/>
          <w:bCs/>
          <w:sz w:val="22"/>
          <w:szCs w:val="22"/>
        </w:rPr>
        <w:t>allows diverse interpretations and may lead</w:t>
      </w:r>
      <w:r w:rsidR="007D2DEB">
        <w:rPr>
          <w:rFonts w:asciiTheme="minorHAnsi" w:hAnsiTheme="minorHAnsi"/>
          <w:bCs/>
          <w:sz w:val="22"/>
          <w:szCs w:val="22"/>
        </w:rPr>
        <w:t>,</w:t>
      </w:r>
      <w:r w:rsidR="00AC1F65">
        <w:rPr>
          <w:rFonts w:asciiTheme="minorHAnsi" w:hAnsiTheme="minorHAnsi"/>
          <w:bCs/>
          <w:sz w:val="22"/>
          <w:szCs w:val="22"/>
        </w:rPr>
        <w:t xml:space="preserve"> </w:t>
      </w:r>
      <w:r w:rsidR="00385B08">
        <w:rPr>
          <w:rFonts w:asciiTheme="minorHAnsi" w:hAnsiTheme="minorHAnsi"/>
          <w:bCs/>
          <w:sz w:val="22"/>
          <w:szCs w:val="22"/>
        </w:rPr>
        <w:t>every now and then</w:t>
      </w:r>
      <w:r w:rsidR="007D2DEB">
        <w:rPr>
          <w:rFonts w:asciiTheme="minorHAnsi" w:hAnsiTheme="minorHAnsi"/>
          <w:bCs/>
          <w:sz w:val="22"/>
          <w:szCs w:val="22"/>
        </w:rPr>
        <w:t>,</w:t>
      </w:r>
      <w:r w:rsidR="00385B08">
        <w:rPr>
          <w:rFonts w:asciiTheme="minorHAnsi" w:hAnsiTheme="minorHAnsi"/>
          <w:bCs/>
          <w:sz w:val="22"/>
          <w:szCs w:val="22"/>
        </w:rPr>
        <w:t xml:space="preserve"> to questionable outcomes</w:t>
      </w:r>
      <w:r w:rsidR="00AC1F65">
        <w:rPr>
          <w:rFonts w:asciiTheme="minorHAnsi" w:hAnsiTheme="minorHAnsi"/>
          <w:bCs/>
          <w:sz w:val="22"/>
          <w:szCs w:val="22"/>
        </w:rPr>
        <w:t xml:space="preserve">. </w:t>
      </w:r>
      <w:r w:rsidR="009842FC">
        <w:rPr>
          <w:rFonts w:asciiTheme="minorHAnsi" w:hAnsiTheme="minorHAnsi"/>
          <w:bCs/>
          <w:sz w:val="22"/>
          <w:szCs w:val="22"/>
        </w:rPr>
        <w:t xml:space="preserve"> </w:t>
      </w:r>
      <w:r w:rsidR="00882D23">
        <w:rPr>
          <w:rFonts w:asciiTheme="minorHAnsi" w:hAnsiTheme="minorHAnsi"/>
          <w:bCs/>
          <w:sz w:val="22"/>
          <w:szCs w:val="22"/>
        </w:rPr>
        <w:t>For instance, i</w:t>
      </w:r>
      <w:r w:rsidR="00AC1F65">
        <w:rPr>
          <w:rFonts w:asciiTheme="minorHAnsi" w:hAnsiTheme="minorHAnsi"/>
          <w:bCs/>
          <w:sz w:val="22"/>
          <w:szCs w:val="22"/>
        </w:rPr>
        <w:t xml:space="preserve">t appeared that Clause 2.10 was being invoked </w:t>
      </w:r>
      <w:r w:rsidR="00882D23">
        <w:rPr>
          <w:rFonts w:asciiTheme="minorHAnsi" w:hAnsiTheme="minorHAnsi"/>
          <w:bCs/>
          <w:sz w:val="22"/>
          <w:szCs w:val="22"/>
        </w:rPr>
        <w:t>as the undersea feature name proposal was located in a claimed maritime area</w:t>
      </w:r>
      <w:r w:rsidR="00AC1F65">
        <w:rPr>
          <w:rFonts w:asciiTheme="minorHAnsi" w:hAnsiTheme="minorHAnsi"/>
          <w:bCs/>
          <w:sz w:val="22"/>
          <w:szCs w:val="22"/>
        </w:rPr>
        <w:t xml:space="preserve">. </w:t>
      </w:r>
      <w:r w:rsidR="009842FC">
        <w:rPr>
          <w:rFonts w:asciiTheme="minorHAnsi" w:hAnsiTheme="minorHAnsi"/>
          <w:bCs/>
          <w:sz w:val="22"/>
          <w:szCs w:val="22"/>
        </w:rPr>
        <w:t xml:space="preserve"> </w:t>
      </w:r>
      <w:r w:rsidR="00BA5D21">
        <w:rPr>
          <w:rFonts w:asciiTheme="minorHAnsi" w:hAnsiTheme="minorHAnsi"/>
          <w:bCs/>
          <w:sz w:val="22"/>
          <w:szCs w:val="22"/>
        </w:rPr>
        <w:t>This sometimes resulted in tough discussions, slowing down SCUFN work</w:t>
      </w:r>
      <w:r w:rsidR="00882D23">
        <w:rPr>
          <w:rFonts w:asciiTheme="minorHAnsi" w:hAnsiTheme="minorHAnsi"/>
          <w:bCs/>
          <w:sz w:val="22"/>
          <w:szCs w:val="22"/>
        </w:rPr>
        <w:t>, its global efficiency</w:t>
      </w:r>
      <w:r w:rsidR="00BA5D21">
        <w:rPr>
          <w:rFonts w:asciiTheme="minorHAnsi" w:hAnsiTheme="minorHAnsi"/>
          <w:bCs/>
          <w:sz w:val="22"/>
          <w:szCs w:val="22"/>
        </w:rPr>
        <w:t xml:space="preserve"> and making </w:t>
      </w:r>
      <w:r w:rsidR="00497E4A">
        <w:rPr>
          <w:rFonts w:asciiTheme="minorHAnsi" w:hAnsiTheme="minorHAnsi"/>
          <w:bCs/>
          <w:sz w:val="22"/>
          <w:szCs w:val="22"/>
        </w:rPr>
        <w:t xml:space="preserve">the </w:t>
      </w:r>
      <w:r w:rsidR="00BA5D21">
        <w:rPr>
          <w:rFonts w:asciiTheme="minorHAnsi" w:hAnsiTheme="minorHAnsi"/>
          <w:bCs/>
          <w:sz w:val="22"/>
          <w:szCs w:val="22"/>
        </w:rPr>
        <w:t>Chair’s position</w:t>
      </w:r>
      <w:r w:rsidR="007D2DEB">
        <w:rPr>
          <w:rFonts w:asciiTheme="minorHAnsi" w:hAnsiTheme="minorHAnsi"/>
          <w:bCs/>
          <w:sz w:val="22"/>
          <w:szCs w:val="22"/>
        </w:rPr>
        <w:t xml:space="preserve"> quite difficult</w:t>
      </w:r>
      <w:r w:rsidR="00BA5D21">
        <w:rPr>
          <w:rFonts w:asciiTheme="minorHAnsi" w:hAnsiTheme="minorHAnsi"/>
          <w:bCs/>
          <w:sz w:val="22"/>
          <w:szCs w:val="22"/>
        </w:rPr>
        <w:t>.</w:t>
      </w:r>
    </w:p>
    <w:p w:rsidR="007A3CFF" w:rsidRDefault="005870AE" w:rsidP="00227B07">
      <w:pPr>
        <w:widowControl/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en-NZ"/>
        </w:rPr>
        <w:t xml:space="preserve">4. </w:t>
      </w:r>
      <w:r w:rsidR="00C338AE">
        <w:rPr>
          <w:rFonts w:asciiTheme="minorHAnsi" w:hAnsiTheme="minorHAnsi"/>
          <w:bCs/>
          <w:sz w:val="22"/>
          <w:szCs w:val="22"/>
          <w:lang w:val="en-NZ"/>
        </w:rPr>
        <w:t xml:space="preserve"> </w:t>
      </w:r>
      <w:r w:rsidR="00882D23">
        <w:rPr>
          <w:rFonts w:asciiTheme="minorHAnsi" w:hAnsiTheme="minorHAnsi"/>
          <w:bCs/>
          <w:sz w:val="22"/>
          <w:szCs w:val="22"/>
          <w:lang w:val="en-NZ"/>
        </w:rPr>
        <w:t xml:space="preserve">At </w:t>
      </w:r>
      <w:r w:rsidR="00C338AE">
        <w:rPr>
          <w:rFonts w:asciiTheme="minorHAnsi" w:hAnsiTheme="minorHAnsi"/>
          <w:bCs/>
          <w:sz w:val="22"/>
          <w:szCs w:val="22"/>
          <w:lang w:val="en-NZ"/>
        </w:rPr>
        <w:t>SCUFN29</w:t>
      </w:r>
      <w:r w:rsidR="00882D23">
        <w:rPr>
          <w:rFonts w:asciiTheme="minorHAnsi" w:hAnsiTheme="minorHAnsi"/>
          <w:bCs/>
          <w:sz w:val="22"/>
          <w:szCs w:val="22"/>
          <w:lang w:val="en-NZ"/>
        </w:rPr>
        <w:t xml:space="preserve"> again, </w:t>
      </w:r>
      <w:r w:rsidR="007D2DEB">
        <w:rPr>
          <w:rFonts w:asciiTheme="minorHAnsi" w:hAnsiTheme="minorHAnsi"/>
          <w:bCs/>
          <w:sz w:val="22"/>
          <w:szCs w:val="22"/>
          <w:lang w:val="en-NZ"/>
        </w:rPr>
        <w:t xml:space="preserve">some proposals were not considered in application of Clause 2.10, as a decision made after lengthy </w:t>
      </w:r>
      <w:r w:rsidR="00C338AE">
        <w:rPr>
          <w:rFonts w:asciiTheme="minorHAnsi" w:hAnsiTheme="minorHAnsi"/>
          <w:bCs/>
          <w:sz w:val="22"/>
          <w:szCs w:val="22"/>
          <w:lang w:val="en-NZ"/>
        </w:rPr>
        <w:t xml:space="preserve">discussions. Accordingly, </w:t>
      </w:r>
      <w:r w:rsidR="00A520A3">
        <w:rPr>
          <w:rFonts w:asciiTheme="minorHAnsi" w:hAnsiTheme="minorHAnsi"/>
          <w:bCs/>
          <w:sz w:val="22"/>
          <w:szCs w:val="22"/>
          <w:lang w:val="en-NZ"/>
        </w:rPr>
        <w:t>d</w:t>
      </w:r>
      <w:r w:rsidR="00C338AE">
        <w:rPr>
          <w:rFonts w:asciiTheme="minorHAnsi" w:hAnsiTheme="minorHAnsi"/>
          <w:bCs/>
          <w:sz w:val="22"/>
          <w:szCs w:val="22"/>
          <w:lang w:val="en-NZ"/>
        </w:rPr>
        <w:t xml:space="preserve">ecisions SCUFN29/13 and 117 </w:t>
      </w:r>
      <w:r w:rsidR="004C3A9B">
        <w:rPr>
          <w:rFonts w:asciiTheme="minorHAnsi" w:hAnsiTheme="minorHAnsi"/>
          <w:bCs/>
          <w:sz w:val="22"/>
          <w:szCs w:val="22"/>
          <w:lang w:val="en-NZ"/>
        </w:rPr>
        <w:t xml:space="preserve">called for appropriate </w:t>
      </w:r>
      <w:r w:rsidR="00063979">
        <w:rPr>
          <w:rFonts w:asciiTheme="minorHAnsi" w:hAnsiTheme="minorHAnsi"/>
          <w:bCs/>
          <w:sz w:val="22"/>
          <w:szCs w:val="22"/>
          <w:lang w:val="en-NZ"/>
        </w:rPr>
        <w:t xml:space="preserve">clarification of the decision making process including possible improvements of </w:t>
      </w:r>
      <w:r w:rsidR="00B7707F">
        <w:rPr>
          <w:rFonts w:asciiTheme="minorHAnsi" w:hAnsiTheme="minorHAnsi"/>
          <w:bCs/>
          <w:sz w:val="22"/>
          <w:szCs w:val="22"/>
          <w:lang w:val="en-NZ"/>
        </w:rPr>
        <w:t>SCUFN T</w:t>
      </w:r>
      <w:r w:rsidR="00954EE8">
        <w:rPr>
          <w:rFonts w:asciiTheme="minorHAnsi" w:hAnsiTheme="minorHAnsi"/>
          <w:bCs/>
          <w:sz w:val="22"/>
          <w:szCs w:val="22"/>
          <w:lang w:val="en-NZ"/>
        </w:rPr>
        <w:t>ORs</w:t>
      </w:r>
      <w:r w:rsidR="00B7707F">
        <w:rPr>
          <w:rFonts w:asciiTheme="minorHAnsi" w:hAnsiTheme="minorHAnsi"/>
          <w:bCs/>
          <w:sz w:val="22"/>
          <w:szCs w:val="22"/>
          <w:lang w:val="en-NZ"/>
        </w:rPr>
        <w:t>.</w:t>
      </w:r>
    </w:p>
    <w:p w:rsidR="00993055" w:rsidRDefault="007A3CFF" w:rsidP="00227B07">
      <w:pPr>
        <w:widowControl/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</w:t>
      </w:r>
      <w:r w:rsidR="000C717B">
        <w:rPr>
          <w:rFonts w:asciiTheme="minorHAnsi" w:hAnsiTheme="minorHAnsi"/>
          <w:sz w:val="22"/>
          <w:szCs w:val="22"/>
        </w:rPr>
        <w:t>Since SCUFN29, s</w:t>
      </w:r>
      <w:r w:rsidR="007D2DEB">
        <w:rPr>
          <w:rFonts w:asciiTheme="minorHAnsi" w:hAnsiTheme="minorHAnsi"/>
          <w:sz w:val="22"/>
          <w:szCs w:val="22"/>
        </w:rPr>
        <w:t xml:space="preserve">everal options </w:t>
      </w:r>
      <w:r w:rsidR="003D6872">
        <w:rPr>
          <w:rFonts w:asciiTheme="minorHAnsi" w:hAnsiTheme="minorHAnsi"/>
          <w:sz w:val="22"/>
          <w:szCs w:val="22"/>
        </w:rPr>
        <w:t>were</w:t>
      </w:r>
      <w:r w:rsidR="007D2DEB">
        <w:rPr>
          <w:rFonts w:asciiTheme="minorHAnsi" w:hAnsiTheme="minorHAnsi"/>
          <w:sz w:val="22"/>
          <w:szCs w:val="22"/>
        </w:rPr>
        <w:t xml:space="preserve"> considered by the SCUFN Chair and Secretary </w:t>
      </w:r>
      <w:r w:rsidR="000C717B">
        <w:rPr>
          <w:rFonts w:asciiTheme="minorHAnsi" w:hAnsiTheme="minorHAnsi"/>
          <w:sz w:val="22"/>
          <w:szCs w:val="22"/>
        </w:rPr>
        <w:t xml:space="preserve">in liaison with the Secretary-General of the IHO </w:t>
      </w:r>
      <w:r w:rsidR="007D2DEB">
        <w:rPr>
          <w:rFonts w:asciiTheme="minorHAnsi" w:hAnsiTheme="minorHAnsi"/>
          <w:sz w:val="22"/>
          <w:szCs w:val="22"/>
        </w:rPr>
        <w:t>to tenta</w:t>
      </w:r>
      <w:r w:rsidR="003D6872">
        <w:rPr>
          <w:rFonts w:asciiTheme="minorHAnsi" w:hAnsiTheme="minorHAnsi"/>
          <w:sz w:val="22"/>
          <w:szCs w:val="22"/>
        </w:rPr>
        <w:t xml:space="preserve">tively improve the situation, for the sake of SCUFN activities in the long term.  </w:t>
      </w:r>
      <w:r w:rsidR="00B7707F">
        <w:rPr>
          <w:rFonts w:asciiTheme="minorHAnsi" w:hAnsiTheme="minorHAnsi"/>
          <w:sz w:val="22"/>
          <w:szCs w:val="22"/>
        </w:rPr>
        <w:t>After consultation</w:t>
      </w:r>
      <w:r w:rsidR="003D6872">
        <w:rPr>
          <w:rFonts w:asciiTheme="minorHAnsi" w:hAnsiTheme="minorHAnsi"/>
          <w:sz w:val="22"/>
          <w:szCs w:val="22"/>
        </w:rPr>
        <w:t>,</w:t>
      </w:r>
      <w:r w:rsidR="00B7707F">
        <w:rPr>
          <w:rFonts w:asciiTheme="minorHAnsi" w:hAnsiTheme="minorHAnsi"/>
          <w:sz w:val="22"/>
          <w:szCs w:val="22"/>
        </w:rPr>
        <w:t xml:space="preserve"> </w:t>
      </w:r>
      <w:r w:rsidR="003D6872">
        <w:rPr>
          <w:rFonts w:asciiTheme="minorHAnsi" w:hAnsiTheme="minorHAnsi"/>
          <w:sz w:val="22"/>
          <w:szCs w:val="22"/>
        </w:rPr>
        <w:t xml:space="preserve">and with the aim to propose changes that are acceptable by SCUFN, then the GGC, </w:t>
      </w:r>
      <w:r w:rsidR="00B7707F">
        <w:rPr>
          <w:rFonts w:asciiTheme="minorHAnsi" w:hAnsiTheme="minorHAnsi"/>
          <w:sz w:val="22"/>
          <w:szCs w:val="22"/>
        </w:rPr>
        <w:t xml:space="preserve">the following </w:t>
      </w:r>
      <w:r w:rsidR="0032791A">
        <w:rPr>
          <w:rFonts w:asciiTheme="minorHAnsi" w:hAnsiTheme="minorHAnsi"/>
          <w:sz w:val="22"/>
          <w:szCs w:val="22"/>
        </w:rPr>
        <w:t>amendment</w:t>
      </w:r>
      <w:r w:rsidR="00B7707F">
        <w:rPr>
          <w:rFonts w:asciiTheme="minorHAnsi" w:hAnsiTheme="minorHAnsi"/>
          <w:sz w:val="22"/>
          <w:szCs w:val="22"/>
        </w:rPr>
        <w:t xml:space="preserve"> to Clause 2.10 (</w:t>
      </w:r>
      <w:r w:rsidR="00B7707F" w:rsidRPr="00993055">
        <w:rPr>
          <w:rFonts w:asciiTheme="minorHAnsi" w:hAnsiTheme="minorHAnsi"/>
          <w:color w:val="00B0F0"/>
          <w:sz w:val="22"/>
          <w:szCs w:val="22"/>
        </w:rPr>
        <w:t>in blue</w:t>
      </w:r>
      <w:r w:rsidR="00B7707F">
        <w:rPr>
          <w:rFonts w:asciiTheme="minorHAnsi" w:hAnsiTheme="minorHAnsi"/>
          <w:sz w:val="22"/>
          <w:szCs w:val="22"/>
        </w:rPr>
        <w:t xml:space="preserve">) </w:t>
      </w:r>
      <w:r w:rsidR="0032791A">
        <w:rPr>
          <w:rFonts w:asciiTheme="minorHAnsi" w:hAnsiTheme="minorHAnsi"/>
          <w:sz w:val="22"/>
          <w:szCs w:val="22"/>
        </w:rPr>
        <w:t>is</w:t>
      </w:r>
      <w:r w:rsidR="00B7707F">
        <w:rPr>
          <w:rFonts w:asciiTheme="minorHAnsi" w:hAnsiTheme="minorHAnsi"/>
          <w:sz w:val="22"/>
          <w:szCs w:val="22"/>
        </w:rPr>
        <w:t xml:space="preserve"> proposed</w:t>
      </w:r>
      <w:r w:rsidR="00993055">
        <w:rPr>
          <w:rFonts w:asciiTheme="minorHAnsi" w:hAnsiTheme="minorHAnsi"/>
          <w:sz w:val="22"/>
          <w:szCs w:val="22"/>
        </w:rPr>
        <w:t xml:space="preserve"> to</w:t>
      </w:r>
      <w:r w:rsidR="003D6872">
        <w:rPr>
          <w:rFonts w:asciiTheme="minorHAnsi" w:hAnsiTheme="minorHAnsi"/>
          <w:sz w:val="22"/>
          <w:szCs w:val="22"/>
        </w:rPr>
        <w:t xml:space="preserve"> </w:t>
      </w:r>
      <w:r w:rsidR="003D6872">
        <w:rPr>
          <w:rFonts w:asciiTheme="minorHAnsi" w:hAnsiTheme="minorHAnsi"/>
          <w:sz w:val="22"/>
          <w:szCs w:val="22"/>
          <w:lang w:val="en-AU"/>
        </w:rPr>
        <w:t>facilitate and consolidate the decision making process within SCUFN</w:t>
      </w:r>
      <w:r w:rsidR="00993055">
        <w:rPr>
          <w:rFonts w:asciiTheme="minorHAnsi" w:hAnsiTheme="minorHAnsi"/>
          <w:sz w:val="22"/>
          <w:szCs w:val="22"/>
        </w:rPr>
        <w:t>:</w:t>
      </w:r>
      <w:r w:rsidR="00B7707F">
        <w:rPr>
          <w:rFonts w:asciiTheme="minorHAnsi" w:hAnsiTheme="minorHAnsi"/>
          <w:sz w:val="22"/>
          <w:szCs w:val="22"/>
        </w:rPr>
        <w:t xml:space="preserve"> </w:t>
      </w:r>
    </w:p>
    <w:p w:rsidR="00141DB7" w:rsidRPr="005032DD" w:rsidRDefault="005032DD" w:rsidP="00993055">
      <w:pPr>
        <w:widowControl/>
        <w:autoSpaceDE w:val="0"/>
        <w:autoSpaceDN w:val="0"/>
        <w:adjustRightInd w:val="0"/>
        <w:spacing w:after="120"/>
        <w:ind w:left="567" w:right="567"/>
        <w:rPr>
          <w:rFonts w:asciiTheme="minorHAnsi" w:hAnsiTheme="minorHAnsi"/>
          <w:sz w:val="22"/>
          <w:szCs w:val="22"/>
        </w:rPr>
      </w:pPr>
      <w:r w:rsidRPr="005032DD">
        <w:rPr>
          <w:rFonts w:asciiTheme="minorHAnsi" w:hAnsiTheme="minorHAnsi"/>
          <w:sz w:val="22"/>
          <w:szCs w:val="22"/>
        </w:rPr>
        <w:t>"</w:t>
      </w:r>
      <w:r w:rsidRPr="005032DD">
        <w:rPr>
          <w:rFonts w:asciiTheme="minorHAnsi" w:hAnsiTheme="minorHAnsi"/>
          <w:i/>
          <w:iCs/>
          <w:sz w:val="22"/>
          <w:szCs w:val="22"/>
        </w:rPr>
        <w:t xml:space="preserve">The Sub-Committee will not consider undersea feature name proposals that </w:t>
      </w:r>
      <w:r w:rsidRPr="00993055">
        <w:rPr>
          <w:rFonts w:asciiTheme="minorHAnsi" w:hAnsiTheme="minorHAnsi"/>
          <w:i/>
          <w:iCs/>
          <w:color w:val="00B0F0"/>
          <w:sz w:val="22"/>
          <w:szCs w:val="22"/>
        </w:rPr>
        <w:t xml:space="preserve">may be considered </w:t>
      </w:r>
      <w:r w:rsidRPr="005032DD">
        <w:rPr>
          <w:rFonts w:asciiTheme="minorHAnsi" w:hAnsiTheme="minorHAnsi"/>
          <w:i/>
          <w:iCs/>
          <w:sz w:val="22"/>
          <w:szCs w:val="22"/>
        </w:rPr>
        <w:t xml:space="preserve">politically sensitive </w:t>
      </w:r>
      <w:r w:rsidRPr="00993055">
        <w:rPr>
          <w:rFonts w:asciiTheme="minorHAnsi" w:hAnsiTheme="minorHAnsi"/>
          <w:i/>
          <w:iCs/>
          <w:color w:val="00B0F0"/>
          <w:sz w:val="22"/>
          <w:szCs w:val="22"/>
        </w:rPr>
        <w:t>or controversial</w:t>
      </w:r>
      <w:r w:rsidRPr="005032DD">
        <w:rPr>
          <w:rFonts w:asciiTheme="minorHAnsi" w:hAnsiTheme="minorHAnsi"/>
          <w:i/>
          <w:iCs/>
          <w:sz w:val="22"/>
          <w:szCs w:val="22"/>
        </w:rPr>
        <w:t>.</w:t>
      </w:r>
      <w:r w:rsidRPr="005032DD">
        <w:rPr>
          <w:rFonts w:asciiTheme="minorHAnsi" w:hAnsiTheme="minorHAnsi"/>
          <w:sz w:val="22"/>
          <w:szCs w:val="22"/>
        </w:rPr>
        <w:t xml:space="preserve">  </w:t>
      </w:r>
      <w:r w:rsidRPr="00993055">
        <w:rPr>
          <w:rFonts w:asciiTheme="minorHAnsi" w:hAnsiTheme="minorHAnsi"/>
          <w:i/>
          <w:iCs/>
          <w:color w:val="00B0F0"/>
          <w:sz w:val="22"/>
          <w:szCs w:val="22"/>
        </w:rPr>
        <w:t>In reaching any decision not to consider certain proposals, the Chair shall take into account the views of the members of the Sub</w:t>
      </w:r>
      <w:r w:rsidR="00622305">
        <w:rPr>
          <w:rFonts w:asciiTheme="minorHAnsi" w:hAnsiTheme="minorHAnsi"/>
          <w:i/>
          <w:iCs/>
          <w:color w:val="00B0F0"/>
          <w:sz w:val="22"/>
          <w:szCs w:val="22"/>
        </w:rPr>
        <w:t>-</w:t>
      </w:r>
      <w:r w:rsidRPr="00993055">
        <w:rPr>
          <w:rFonts w:asciiTheme="minorHAnsi" w:hAnsiTheme="minorHAnsi"/>
          <w:i/>
          <w:iCs/>
          <w:color w:val="00B0F0"/>
          <w:sz w:val="22"/>
          <w:szCs w:val="22"/>
        </w:rPr>
        <w:t>Committee.</w:t>
      </w:r>
      <w:r w:rsidRPr="00993055">
        <w:rPr>
          <w:rFonts w:asciiTheme="minorHAnsi" w:hAnsiTheme="minorHAnsi"/>
          <w:sz w:val="22"/>
          <w:szCs w:val="22"/>
        </w:rPr>
        <w:t>"</w:t>
      </w:r>
    </w:p>
    <w:p w:rsidR="00635694" w:rsidRDefault="00635694" w:rsidP="00D171B6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sz w:val="22"/>
          <w:szCs w:val="22"/>
        </w:rPr>
      </w:pPr>
    </w:p>
    <w:p w:rsidR="00D171B6" w:rsidRPr="00D171B6" w:rsidRDefault="00D171B6" w:rsidP="00D171B6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aps/>
          <w:lang w:val="en-NZ"/>
        </w:rPr>
      </w:pPr>
      <w:r w:rsidRPr="00D171B6">
        <w:rPr>
          <w:rFonts w:ascii="Calibri" w:hAnsi="Calibri"/>
          <w:b/>
          <w:bCs/>
          <w:sz w:val="22"/>
          <w:szCs w:val="22"/>
        </w:rPr>
        <w:t>Recommendations</w:t>
      </w:r>
    </w:p>
    <w:p w:rsidR="00635694" w:rsidRPr="00635694" w:rsidRDefault="00635694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caps/>
          <w:sz w:val="22"/>
          <w:szCs w:val="22"/>
          <w:lang w:val="en-NZ"/>
        </w:rPr>
      </w:pPr>
      <w:r w:rsidRPr="00635694">
        <w:rPr>
          <w:rFonts w:ascii="Calibri" w:hAnsi="Calibri"/>
          <w:sz w:val="22"/>
          <w:szCs w:val="22"/>
        </w:rPr>
        <w:lastRenderedPageBreak/>
        <w:t>It is recommended that:</w:t>
      </w:r>
    </w:p>
    <w:p w:rsidR="00635694" w:rsidRDefault="001D7C9B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caps/>
          <w:sz w:val="22"/>
          <w:szCs w:val="22"/>
          <w:lang w:val="en-NZ"/>
        </w:rPr>
      </w:pPr>
      <w:r>
        <w:rPr>
          <w:rFonts w:ascii="Calibri" w:hAnsi="Calibri"/>
          <w:bCs/>
          <w:caps/>
          <w:sz w:val="22"/>
          <w:szCs w:val="22"/>
          <w:lang w:val="en-NZ"/>
        </w:rPr>
        <w:t>6</w:t>
      </w:r>
      <w:r w:rsidR="00635694" w:rsidRPr="00635694">
        <w:rPr>
          <w:rFonts w:ascii="Calibri" w:hAnsi="Calibri"/>
          <w:bCs/>
          <w:caps/>
          <w:sz w:val="22"/>
          <w:szCs w:val="22"/>
          <w:lang w:val="en-NZ"/>
        </w:rPr>
        <w:t xml:space="preserve">. </w:t>
      </w:r>
      <w:r w:rsidR="00100622">
        <w:rPr>
          <w:rFonts w:ascii="Calibri" w:hAnsi="Calibri"/>
          <w:bCs/>
          <w:caps/>
          <w:sz w:val="22"/>
          <w:szCs w:val="22"/>
          <w:lang w:val="en-NZ"/>
        </w:rPr>
        <w:t xml:space="preserve"> </w:t>
      </w:r>
      <w:r w:rsidR="00635694" w:rsidRPr="00635694">
        <w:rPr>
          <w:rFonts w:ascii="Calibri" w:hAnsi="Calibri"/>
          <w:sz w:val="22"/>
          <w:szCs w:val="22"/>
        </w:rPr>
        <w:t xml:space="preserve">SCUFN </w:t>
      </w:r>
      <w:r w:rsidR="00100622">
        <w:rPr>
          <w:rFonts w:ascii="Calibri" w:hAnsi="Calibri"/>
          <w:sz w:val="22"/>
          <w:szCs w:val="22"/>
        </w:rPr>
        <w:t>members take note of this paper</w:t>
      </w:r>
      <w:r>
        <w:rPr>
          <w:rFonts w:ascii="Calibri" w:hAnsi="Calibri"/>
          <w:sz w:val="22"/>
          <w:szCs w:val="22"/>
        </w:rPr>
        <w:t xml:space="preserve"> and support the proposal </w:t>
      </w:r>
      <w:r w:rsidR="00100622">
        <w:rPr>
          <w:rFonts w:ascii="Calibri" w:hAnsi="Calibri"/>
          <w:sz w:val="22"/>
          <w:szCs w:val="22"/>
        </w:rPr>
        <w:t xml:space="preserve">in </w:t>
      </w:r>
      <w:r w:rsidR="0060240C">
        <w:rPr>
          <w:rFonts w:ascii="Calibri" w:hAnsi="Calibri"/>
          <w:sz w:val="22"/>
          <w:szCs w:val="22"/>
        </w:rPr>
        <w:t>section</w:t>
      </w:r>
      <w:r>
        <w:rPr>
          <w:rFonts w:ascii="Calibri" w:hAnsi="Calibri"/>
          <w:sz w:val="22"/>
          <w:szCs w:val="22"/>
        </w:rPr>
        <w:t xml:space="preserve"> 5.</w:t>
      </w:r>
    </w:p>
    <w:p w:rsidR="00635694" w:rsidRDefault="001D7C9B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  <w:r>
        <w:rPr>
          <w:rFonts w:ascii="Calibri" w:hAnsi="Calibri"/>
          <w:bCs/>
          <w:caps/>
          <w:sz w:val="22"/>
          <w:szCs w:val="22"/>
          <w:lang w:val="en-NZ"/>
        </w:rPr>
        <w:t>7</w:t>
      </w:r>
      <w:r w:rsidR="00635694">
        <w:rPr>
          <w:rFonts w:ascii="Calibri" w:hAnsi="Calibri"/>
          <w:bCs/>
          <w:caps/>
          <w:sz w:val="22"/>
          <w:szCs w:val="22"/>
          <w:lang w:val="en-NZ"/>
        </w:rPr>
        <w:t xml:space="preserve">. </w:t>
      </w:r>
      <w:r w:rsidR="00100622">
        <w:rPr>
          <w:rFonts w:ascii="Calibri" w:hAnsi="Calibri"/>
          <w:bCs/>
          <w:caps/>
          <w:sz w:val="22"/>
          <w:szCs w:val="22"/>
          <w:lang w:val="en-NZ"/>
        </w:rPr>
        <w:t xml:space="preserve"> </w:t>
      </w:r>
      <w:r w:rsidR="00E214EA">
        <w:rPr>
          <w:rFonts w:ascii="Calibri" w:hAnsi="Calibri"/>
          <w:bCs/>
          <w:caps/>
          <w:sz w:val="22"/>
          <w:szCs w:val="22"/>
          <w:lang w:val="en-NZ"/>
        </w:rPr>
        <w:t xml:space="preserve">SCUFN </w:t>
      </w:r>
      <w:r w:rsidR="00100622">
        <w:rPr>
          <w:rFonts w:ascii="Calibri" w:hAnsi="Calibri"/>
          <w:bCs/>
          <w:sz w:val="22"/>
          <w:szCs w:val="22"/>
          <w:lang w:val="en-NZ"/>
        </w:rPr>
        <w:t xml:space="preserve">members, if they so desire, provide </w:t>
      </w:r>
      <w:r w:rsidR="000C717B">
        <w:rPr>
          <w:rFonts w:ascii="Calibri" w:hAnsi="Calibri"/>
          <w:bCs/>
          <w:sz w:val="22"/>
          <w:szCs w:val="22"/>
          <w:lang w:val="en-NZ"/>
        </w:rPr>
        <w:t xml:space="preserve">their views </w:t>
      </w:r>
      <w:r w:rsidR="00100622">
        <w:rPr>
          <w:rFonts w:ascii="Calibri" w:hAnsi="Calibri"/>
          <w:bCs/>
          <w:sz w:val="22"/>
          <w:szCs w:val="22"/>
          <w:lang w:val="en-NZ"/>
        </w:rPr>
        <w:t xml:space="preserve">on this </w:t>
      </w:r>
      <w:r w:rsidR="000C717B">
        <w:rPr>
          <w:rFonts w:ascii="Calibri" w:hAnsi="Calibri"/>
          <w:bCs/>
          <w:sz w:val="22"/>
          <w:szCs w:val="22"/>
          <w:lang w:val="en-NZ"/>
        </w:rPr>
        <w:t xml:space="preserve">proposal </w:t>
      </w:r>
      <w:r w:rsidR="00100622">
        <w:rPr>
          <w:rFonts w:ascii="Calibri" w:hAnsi="Calibri"/>
          <w:bCs/>
          <w:sz w:val="22"/>
          <w:szCs w:val="22"/>
          <w:lang w:val="en-NZ"/>
        </w:rPr>
        <w:t>in advance of SCUFN30.</w:t>
      </w:r>
    </w:p>
    <w:p w:rsidR="003C126D" w:rsidRDefault="003C126D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</w:p>
    <w:p w:rsidR="003C126D" w:rsidRDefault="003C126D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  <w:r w:rsidRPr="003C126D">
        <w:rPr>
          <w:rFonts w:ascii="Calibri" w:hAnsi="Calibri"/>
          <w:b/>
          <w:bCs/>
          <w:sz w:val="22"/>
          <w:szCs w:val="22"/>
        </w:rPr>
        <w:t>Justifica</w:t>
      </w:r>
      <w:r w:rsidRPr="003C126D">
        <w:rPr>
          <w:rFonts w:ascii="Calibri" w:hAnsi="Calibri"/>
          <w:sz w:val="22"/>
          <w:szCs w:val="22"/>
        </w:rPr>
        <w:t>t</w:t>
      </w:r>
      <w:r w:rsidRPr="003C126D">
        <w:rPr>
          <w:rFonts w:ascii="Calibri" w:hAnsi="Calibri"/>
          <w:b/>
          <w:bCs/>
          <w:sz w:val="22"/>
          <w:szCs w:val="22"/>
        </w:rPr>
        <w:t>ion and Impacts</w:t>
      </w:r>
    </w:p>
    <w:p w:rsidR="00C437AC" w:rsidRDefault="004079CE" w:rsidP="00390644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  <w:r>
        <w:rPr>
          <w:rFonts w:ascii="Calibri" w:hAnsi="Calibri"/>
          <w:bCs/>
          <w:sz w:val="22"/>
          <w:szCs w:val="22"/>
          <w:lang w:val="en-NZ"/>
        </w:rPr>
        <w:t>8</w:t>
      </w:r>
      <w:r w:rsidR="003C126D">
        <w:rPr>
          <w:rFonts w:ascii="Calibri" w:hAnsi="Calibri"/>
          <w:bCs/>
          <w:sz w:val="22"/>
          <w:szCs w:val="22"/>
          <w:lang w:val="en-NZ"/>
        </w:rPr>
        <w:t xml:space="preserve">. </w:t>
      </w:r>
      <w:r w:rsidR="0060240C">
        <w:rPr>
          <w:rFonts w:ascii="Calibri" w:hAnsi="Calibri"/>
          <w:bCs/>
          <w:sz w:val="22"/>
          <w:szCs w:val="22"/>
          <w:lang w:val="en-NZ"/>
        </w:rPr>
        <w:t xml:space="preserve"> </w:t>
      </w:r>
      <w:r w:rsidR="001D7C9B">
        <w:rPr>
          <w:rFonts w:ascii="Calibri" w:hAnsi="Calibri"/>
          <w:bCs/>
          <w:sz w:val="22"/>
          <w:szCs w:val="22"/>
          <w:lang w:val="en-NZ"/>
        </w:rPr>
        <w:t>The revised Clause 2.10</w:t>
      </w:r>
      <w:r w:rsidR="00622305">
        <w:rPr>
          <w:rFonts w:ascii="Calibri" w:hAnsi="Calibri"/>
          <w:bCs/>
          <w:sz w:val="22"/>
          <w:szCs w:val="22"/>
          <w:lang w:val="en-NZ"/>
        </w:rPr>
        <w:t>, as proposed, should</w:t>
      </w:r>
      <w:r w:rsidR="00C437AC">
        <w:rPr>
          <w:rFonts w:ascii="Calibri" w:hAnsi="Calibri"/>
          <w:bCs/>
          <w:sz w:val="22"/>
          <w:szCs w:val="22"/>
          <w:lang w:val="en-NZ"/>
        </w:rPr>
        <w:t>:</w:t>
      </w:r>
    </w:p>
    <w:p w:rsidR="00C437AC" w:rsidRDefault="00C437AC" w:rsidP="002C425F">
      <w:pPr>
        <w:autoSpaceDE w:val="0"/>
        <w:autoSpaceDN w:val="0"/>
        <w:adjustRightInd w:val="0"/>
        <w:spacing w:after="120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val="en-NZ"/>
        </w:rPr>
        <w:t xml:space="preserve">a. </w:t>
      </w:r>
      <w:r w:rsidR="00622305">
        <w:rPr>
          <w:rFonts w:ascii="Calibri" w:hAnsi="Calibri"/>
          <w:bCs/>
          <w:sz w:val="22"/>
          <w:szCs w:val="22"/>
          <w:lang w:val="en-NZ"/>
        </w:rPr>
        <w:t xml:space="preserve">facilitate </w:t>
      </w:r>
      <w:r w:rsidR="00622305" w:rsidRPr="00622305">
        <w:rPr>
          <w:rFonts w:ascii="Calibri" w:hAnsi="Calibri"/>
          <w:sz w:val="22"/>
          <w:szCs w:val="22"/>
        </w:rPr>
        <w:t>determining when a matter should not be considered by SCUFN</w:t>
      </w:r>
      <w:r>
        <w:rPr>
          <w:rFonts w:ascii="Calibri" w:hAnsi="Calibri"/>
          <w:sz w:val="22"/>
          <w:szCs w:val="22"/>
        </w:rPr>
        <w:t>;</w:t>
      </w:r>
    </w:p>
    <w:p w:rsidR="00C437AC" w:rsidRDefault="00C437AC" w:rsidP="009842FC">
      <w:pPr>
        <w:autoSpaceDE w:val="0"/>
        <w:autoSpaceDN w:val="0"/>
        <w:adjustRightInd w:val="0"/>
        <w:spacing w:after="120"/>
        <w:ind w:left="270" w:firstLine="14"/>
        <w:rPr>
          <w:rFonts w:asciiTheme="minorHAnsi" w:hAnsiTheme="minorHAns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t>b. keep</w:t>
      </w:r>
      <w:r w:rsidR="004079CE">
        <w:rPr>
          <w:rFonts w:asciiTheme="minorHAnsi" w:hAnsi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sz w:val="22"/>
          <w:szCs w:val="22"/>
          <w:lang w:val="en-AU"/>
        </w:rPr>
        <w:t xml:space="preserve">a safe environment so </w:t>
      </w:r>
      <w:r w:rsidR="004079CE">
        <w:rPr>
          <w:rFonts w:asciiTheme="minorHAnsi" w:hAnsiTheme="minorHAnsi"/>
          <w:sz w:val="22"/>
          <w:szCs w:val="22"/>
          <w:lang w:val="en-AU"/>
        </w:rPr>
        <w:t>SCUFN members</w:t>
      </w:r>
      <w:r>
        <w:rPr>
          <w:rFonts w:asciiTheme="minorHAnsi" w:hAnsiTheme="minorHAnsi"/>
          <w:sz w:val="22"/>
          <w:szCs w:val="22"/>
          <w:lang w:val="en-AU"/>
        </w:rPr>
        <w:t xml:space="preserve"> can carry out their tasks, adopting an open-minded, realistic and technical-only approach</w:t>
      </w:r>
      <w:r w:rsidR="00E2640B">
        <w:rPr>
          <w:rFonts w:asciiTheme="minorHAnsi" w:hAnsiTheme="minorHAnsi"/>
          <w:sz w:val="22"/>
          <w:szCs w:val="22"/>
          <w:lang w:val="en-AU"/>
        </w:rPr>
        <w:t>;</w:t>
      </w:r>
    </w:p>
    <w:p w:rsidR="00F136F1" w:rsidRDefault="00C437AC" w:rsidP="009842FC">
      <w:pPr>
        <w:autoSpaceDE w:val="0"/>
        <w:autoSpaceDN w:val="0"/>
        <w:adjustRightInd w:val="0"/>
        <w:spacing w:after="120"/>
        <w:ind w:left="270" w:firstLine="14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c. keep SCUFN members, </w:t>
      </w:r>
      <w:r w:rsidR="005E7C91">
        <w:rPr>
          <w:rFonts w:asciiTheme="minorHAnsi" w:hAnsiTheme="minorHAnsi"/>
          <w:sz w:val="22"/>
          <w:szCs w:val="22"/>
          <w:lang w:val="en-AU"/>
        </w:rPr>
        <w:t>who</w:t>
      </w:r>
      <w:r w:rsidR="004079CE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5E7C91">
        <w:rPr>
          <w:rFonts w:asciiTheme="minorHAnsi" w:hAnsiTheme="minorHAnsi"/>
          <w:sz w:val="22"/>
          <w:szCs w:val="22"/>
          <w:lang w:val="en-AU"/>
        </w:rPr>
        <w:t>represent</w:t>
      </w:r>
      <w:r>
        <w:rPr>
          <w:rFonts w:asciiTheme="minorHAnsi" w:hAnsiTheme="minorHAnsi"/>
          <w:sz w:val="22"/>
          <w:szCs w:val="22"/>
          <w:lang w:val="en-AU"/>
        </w:rPr>
        <w:t xml:space="preserve"> the</w:t>
      </w:r>
      <w:r w:rsidR="005E7C91">
        <w:rPr>
          <w:rFonts w:asciiTheme="minorHAnsi" w:hAnsiTheme="minorHAnsi"/>
          <w:sz w:val="22"/>
          <w:szCs w:val="22"/>
          <w:lang w:val="en-AU"/>
        </w:rPr>
        <w:t xml:space="preserve"> IHO or </w:t>
      </w:r>
      <w:r>
        <w:rPr>
          <w:rFonts w:asciiTheme="minorHAnsi" w:hAnsiTheme="minorHAnsi"/>
          <w:sz w:val="22"/>
          <w:szCs w:val="22"/>
          <w:lang w:val="en-AU"/>
        </w:rPr>
        <w:t xml:space="preserve">the </w:t>
      </w:r>
      <w:r w:rsidR="005E7C91">
        <w:rPr>
          <w:rFonts w:asciiTheme="minorHAnsi" w:hAnsiTheme="minorHAnsi"/>
          <w:sz w:val="22"/>
          <w:szCs w:val="22"/>
          <w:lang w:val="en-AU"/>
        </w:rPr>
        <w:t xml:space="preserve">IOC, </w:t>
      </w:r>
      <w:r w:rsidR="004079CE">
        <w:rPr>
          <w:rFonts w:asciiTheme="minorHAnsi" w:hAnsiTheme="minorHAnsi"/>
          <w:sz w:val="22"/>
          <w:szCs w:val="22"/>
          <w:lang w:val="en-AU"/>
        </w:rPr>
        <w:t>from being involved in political considerations</w:t>
      </w:r>
      <w:r w:rsidR="00622305">
        <w:rPr>
          <w:rFonts w:ascii="Calibri" w:hAnsi="Calibri"/>
          <w:sz w:val="22"/>
          <w:szCs w:val="22"/>
        </w:rPr>
        <w:t>.</w:t>
      </w:r>
    </w:p>
    <w:p w:rsidR="003D6872" w:rsidRDefault="003D6872" w:rsidP="00390644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The </w:t>
      </w:r>
      <w:r w:rsidR="00C437AC">
        <w:rPr>
          <w:rFonts w:ascii="Calibri" w:hAnsi="Calibri"/>
          <w:sz w:val="22"/>
          <w:szCs w:val="22"/>
        </w:rPr>
        <w:t>proposed amendment has</w:t>
      </w:r>
      <w:r>
        <w:rPr>
          <w:rFonts w:ascii="Calibri" w:hAnsi="Calibri"/>
          <w:sz w:val="22"/>
          <w:szCs w:val="22"/>
        </w:rPr>
        <w:t xml:space="preserve"> no impact on the content of Publication B-6</w:t>
      </w:r>
      <w:r w:rsidR="00C437AC">
        <w:rPr>
          <w:rFonts w:ascii="Calibri" w:hAnsi="Calibri"/>
          <w:sz w:val="22"/>
          <w:szCs w:val="22"/>
        </w:rPr>
        <w:t>, so the two documents remain consistent</w:t>
      </w:r>
      <w:r>
        <w:rPr>
          <w:rFonts w:ascii="Calibri" w:hAnsi="Calibri"/>
          <w:sz w:val="22"/>
          <w:szCs w:val="22"/>
        </w:rPr>
        <w:t>.</w:t>
      </w:r>
    </w:p>
    <w:p w:rsidR="003D6872" w:rsidRPr="00622305" w:rsidRDefault="003D6872" w:rsidP="00390644">
      <w:pPr>
        <w:autoSpaceDE w:val="0"/>
        <w:autoSpaceDN w:val="0"/>
        <w:adjustRightInd w:val="0"/>
        <w:spacing w:after="120"/>
        <w:rPr>
          <w:rFonts w:ascii="Calibri" w:hAnsi="Calibri"/>
          <w:bCs/>
          <w:lang w:val="en-NZ"/>
        </w:rPr>
      </w:pPr>
      <w:r>
        <w:rPr>
          <w:rFonts w:ascii="Calibri" w:hAnsi="Calibri"/>
          <w:sz w:val="22"/>
          <w:szCs w:val="22"/>
        </w:rPr>
        <w:t xml:space="preserve">10.  The </w:t>
      </w:r>
      <w:r w:rsidR="00E42FC6">
        <w:rPr>
          <w:rFonts w:ascii="Calibri" w:hAnsi="Calibri"/>
          <w:sz w:val="22"/>
          <w:szCs w:val="22"/>
        </w:rPr>
        <w:t xml:space="preserve">final decision is at the discretion of the </w:t>
      </w:r>
      <w:r>
        <w:rPr>
          <w:rFonts w:ascii="Calibri" w:hAnsi="Calibri"/>
          <w:sz w:val="22"/>
          <w:szCs w:val="22"/>
        </w:rPr>
        <w:t xml:space="preserve">SCUFN Chair </w:t>
      </w:r>
      <w:r w:rsidR="00E42FC6">
        <w:rPr>
          <w:rFonts w:ascii="Calibri" w:hAnsi="Calibri"/>
          <w:sz w:val="22"/>
          <w:szCs w:val="22"/>
        </w:rPr>
        <w:t xml:space="preserve">who </w:t>
      </w:r>
      <w:r>
        <w:rPr>
          <w:rFonts w:ascii="Calibri" w:hAnsi="Calibri"/>
          <w:sz w:val="22"/>
          <w:szCs w:val="22"/>
        </w:rPr>
        <w:t xml:space="preserve">has the authority to make </w:t>
      </w:r>
      <w:r w:rsidR="00E42FC6">
        <w:rPr>
          <w:rFonts w:ascii="Calibri" w:hAnsi="Calibri"/>
          <w:sz w:val="22"/>
          <w:szCs w:val="22"/>
        </w:rPr>
        <w:t>it,</w:t>
      </w:r>
      <w:r>
        <w:rPr>
          <w:rFonts w:ascii="Calibri" w:hAnsi="Calibri"/>
          <w:sz w:val="22"/>
          <w:szCs w:val="22"/>
        </w:rPr>
        <w:t xml:space="preserve"> based on the opinion</w:t>
      </w:r>
      <w:r w:rsidR="00E42FC6">
        <w:rPr>
          <w:rFonts w:ascii="Calibri" w:hAnsi="Calibri"/>
          <w:sz w:val="22"/>
          <w:szCs w:val="22"/>
        </w:rPr>
        <w:t>s given by SCUFN Members.</w:t>
      </w:r>
      <w:r>
        <w:rPr>
          <w:rFonts w:ascii="Calibri" w:hAnsi="Calibri"/>
          <w:sz w:val="22"/>
          <w:szCs w:val="22"/>
        </w:rPr>
        <w:t xml:space="preserve"> </w:t>
      </w:r>
    </w:p>
    <w:p w:rsidR="001037A0" w:rsidRDefault="001037A0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</w:p>
    <w:p w:rsidR="001037A0" w:rsidRDefault="001037A0" w:rsidP="001037A0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Arial"/>
          <w:b/>
          <w:bCs/>
          <w:color w:val="000000"/>
          <w:sz w:val="22"/>
          <w:szCs w:val="22"/>
          <w:lang w:eastAsia="en-US"/>
        </w:rPr>
      </w:pPr>
      <w:r w:rsidRPr="001037A0">
        <w:rPr>
          <w:rFonts w:ascii="Calibri" w:eastAsiaTheme="minorHAnsi" w:hAnsi="Calibri" w:cs="Arial"/>
          <w:b/>
          <w:bCs/>
          <w:color w:val="000000"/>
          <w:sz w:val="22"/>
          <w:szCs w:val="22"/>
          <w:lang w:eastAsia="en-US"/>
        </w:rPr>
        <w:t xml:space="preserve">Action required of SCUFN </w:t>
      </w:r>
    </w:p>
    <w:p w:rsidR="001037A0" w:rsidRPr="001037A0" w:rsidRDefault="001037A0" w:rsidP="001037A0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</w:p>
    <w:p w:rsidR="001037A0" w:rsidRPr="001037A0" w:rsidRDefault="004079CE" w:rsidP="001037A0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9</w:t>
      </w:r>
      <w:r w:rsidR="001037A0"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. </w:t>
      </w:r>
      <w:r w:rsidR="0060240C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</w:t>
      </w:r>
      <w:r w:rsidR="001037A0"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SCUFN is invited to: </w:t>
      </w:r>
    </w:p>
    <w:p w:rsidR="001037A0" w:rsidRPr="001037A0" w:rsidRDefault="001037A0" w:rsidP="001037A0">
      <w:pPr>
        <w:widowControl/>
        <w:suppressAutoHyphens w:val="0"/>
        <w:autoSpaceDE w:val="0"/>
        <w:autoSpaceDN w:val="0"/>
        <w:adjustRightInd w:val="0"/>
        <w:ind w:firstLine="567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  <w:r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a. note this </w:t>
      </w:r>
      <w:r w:rsidR="0060240C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paper</w:t>
      </w:r>
      <w:r w:rsidR="00A30EB1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;</w:t>
      </w:r>
    </w:p>
    <w:p w:rsidR="00E42FC6" w:rsidRPr="001037A0" w:rsidRDefault="001037A0" w:rsidP="00E42FC6">
      <w:pPr>
        <w:widowControl/>
        <w:suppressAutoHyphens w:val="0"/>
        <w:autoSpaceDE w:val="0"/>
        <w:autoSpaceDN w:val="0"/>
        <w:adjustRightInd w:val="0"/>
        <w:ind w:firstLine="567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  <w:r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b. consider the recommend</w:t>
      </w: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a</w:t>
      </w:r>
      <w:r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tions made in section</w:t>
      </w:r>
      <w:r w:rsidR="0060240C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s</w:t>
      </w:r>
      <w:r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</w:t>
      </w:r>
      <w:r w:rsidR="004079CE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6</w:t>
      </w: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and </w:t>
      </w:r>
      <w:r w:rsidR="004079CE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7</w:t>
      </w:r>
      <w:r w:rsidR="00E42FC6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;</w:t>
      </w:r>
      <w:r w:rsidR="00E42FC6" w:rsidRPr="00E42FC6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</w:t>
      </w:r>
    </w:p>
    <w:p w:rsidR="00196C03" w:rsidRPr="009D78BC" w:rsidRDefault="00E42FC6" w:rsidP="0032791A">
      <w:pPr>
        <w:autoSpaceDE w:val="0"/>
        <w:autoSpaceDN w:val="0"/>
        <w:adjustRightInd w:val="0"/>
        <w:spacing w:after="120"/>
        <w:ind w:left="540" w:firstLine="27"/>
        <w:rPr>
          <w:rFonts w:asciiTheme="minorHAnsi" w:hAnsiTheme="minorHAnsi"/>
        </w:rPr>
      </w:pP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c. subsequently submit the proposal for amending the SCUFN T</w:t>
      </w:r>
      <w:r w:rsidR="00954EE8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ORs</w:t>
      </w: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to the GGC for </w:t>
      </w:r>
      <w:r w:rsidR="0032791A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approval, in accordance with </w:t>
      </w:r>
      <w:bookmarkStart w:id="0" w:name="_GoBack"/>
      <w:bookmarkEnd w:id="0"/>
      <w:r w:rsidR="0032791A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Art. </w:t>
      </w:r>
      <w:r w:rsidR="009842FC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9</w:t>
      </w:r>
      <w:r w:rsidR="0032791A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of the GGC TORs</w:t>
      </w:r>
      <w:r w:rsid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.</w:t>
      </w:r>
    </w:p>
    <w:sectPr w:rsidR="00196C03" w:rsidRPr="009D78BC" w:rsidSect="00AB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42" w:rsidRDefault="007A2242" w:rsidP="00454077">
      <w:r>
        <w:separator/>
      </w:r>
    </w:p>
  </w:endnote>
  <w:endnote w:type="continuationSeparator" w:id="0">
    <w:p w:rsidR="007A2242" w:rsidRDefault="007A2242" w:rsidP="0045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42" w:rsidRDefault="007A2242" w:rsidP="00454077">
      <w:r>
        <w:separator/>
      </w:r>
    </w:p>
  </w:footnote>
  <w:footnote w:type="continuationSeparator" w:id="0">
    <w:p w:rsidR="007A2242" w:rsidRDefault="007A2242" w:rsidP="0045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8431D95"/>
    <w:multiLevelType w:val="hybridMultilevel"/>
    <w:tmpl w:val="B2807868"/>
    <w:lvl w:ilvl="0" w:tplc="C2C8FB1A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N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51FB"/>
    <w:multiLevelType w:val="hybridMultilevel"/>
    <w:tmpl w:val="A014C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72AA"/>
    <w:multiLevelType w:val="hybridMultilevel"/>
    <w:tmpl w:val="50C04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3869"/>
    <w:multiLevelType w:val="hybridMultilevel"/>
    <w:tmpl w:val="78FAA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A30B9"/>
    <w:multiLevelType w:val="hybridMultilevel"/>
    <w:tmpl w:val="C01C8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1164D"/>
    <w:rsid w:val="00013C26"/>
    <w:rsid w:val="00016077"/>
    <w:rsid w:val="00023417"/>
    <w:rsid w:val="000240AC"/>
    <w:rsid w:val="00025A2E"/>
    <w:rsid w:val="00027F91"/>
    <w:rsid w:val="00034695"/>
    <w:rsid w:val="000410DB"/>
    <w:rsid w:val="00050DA6"/>
    <w:rsid w:val="00057416"/>
    <w:rsid w:val="00063979"/>
    <w:rsid w:val="00063C70"/>
    <w:rsid w:val="0006569D"/>
    <w:rsid w:val="000712CC"/>
    <w:rsid w:val="00074F2B"/>
    <w:rsid w:val="00077180"/>
    <w:rsid w:val="00077706"/>
    <w:rsid w:val="0008348D"/>
    <w:rsid w:val="00083926"/>
    <w:rsid w:val="00085E57"/>
    <w:rsid w:val="00094B31"/>
    <w:rsid w:val="000A266B"/>
    <w:rsid w:val="000A2DC0"/>
    <w:rsid w:val="000A5248"/>
    <w:rsid w:val="000B3183"/>
    <w:rsid w:val="000B75DC"/>
    <w:rsid w:val="000C00F4"/>
    <w:rsid w:val="000C717B"/>
    <w:rsid w:val="000C7FF2"/>
    <w:rsid w:val="000D0EC3"/>
    <w:rsid w:val="000D2CE2"/>
    <w:rsid w:val="000D51BC"/>
    <w:rsid w:val="000E2E40"/>
    <w:rsid w:val="000F0671"/>
    <w:rsid w:val="000F6AA0"/>
    <w:rsid w:val="000F7694"/>
    <w:rsid w:val="000F79FA"/>
    <w:rsid w:val="00100622"/>
    <w:rsid w:val="0010114B"/>
    <w:rsid w:val="00103601"/>
    <w:rsid w:val="001037A0"/>
    <w:rsid w:val="001113B3"/>
    <w:rsid w:val="00111425"/>
    <w:rsid w:val="001213F1"/>
    <w:rsid w:val="00126EF2"/>
    <w:rsid w:val="00127928"/>
    <w:rsid w:val="00134962"/>
    <w:rsid w:val="00136A2C"/>
    <w:rsid w:val="00141DB7"/>
    <w:rsid w:val="00150C77"/>
    <w:rsid w:val="00150CF3"/>
    <w:rsid w:val="00151ADA"/>
    <w:rsid w:val="00171453"/>
    <w:rsid w:val="001764C0"/>
    <w:rsid w:val="00180929"/>
    <w:rsid w:val="001830A7"/>
    <w:rsid w:val="00185769"/>
    <w:rsid w:val="0018600B"/>
    <w:rsid w:val="00193DBA"/>
    <w:rsid w:val="00196C03"/>
    <w:rsid w:val="001A02E0"/>
    <w:rsid w:val="001A4272"/>
    <w:rsid w:val="001A5C74"/>
    <w:rsid w:val="001A7F67"/>
    <w:rsid w:val="001B1A87"/>
    <w:rsid w:val="001B4BEA"/>
    <w:rsid w:val="001D1044"/>
    <w:rsid w:val="001D1839"/>
    <w:rsid w:val="001D7C9B"/>
    <w:rsid w:val="001D7D5A"/>
    <w:rsid w:val="001E161B"/>
    <w:rsid w:val="001F0E07"/>
    <w:rsid w:val="001F59DE"/>
    <w:rsid w:val="001F726B"/>
    <w:rsid w:val="00207DFC"/>
    <w:rsid w:val="00207EA4"/>
    <w:rsid w:val="002157F7"/>
    <w:rsid w:val="0022290A"/>
    <w:rsid w:val="00222BA5"/>
    <w:rsid w:val="00227B07"/>
    <w:rsid w:val="00232AA1"/>
    <w:rsid w:val="002346AB"/>
    <w:rsid w:val="00240212"/>
    <w:rsid w:val="002576E6"/>
    <w:rsid w:val="002601C9"/>
    <w:rsid w:val="00260900"/>
    <w:rsid w:val="002676A7"/>
    <w:rsid w:val="002741FC"/>
    <w:rsid w:val="002778E0"/>
    <w:rsid w:val="002842DF"/>
    <w:rsid w:val="00291B18"/>
    <w:rsid w:val="0029468E"/>
    <w:rsid w:val="00296632"/>
    <w:rsid w:val="002A1221"/>
    <w:rsid w:val="002B3CAE"/>
    <w:rsid w:val="002C1AA9"/>
    <w:rsid w:val="002C3FE7"/>
    <w:rsid w:val="002C425F"/>
    <w:rsid w:val="002C6C35"/>
    <w:rsid w:val="002C731C"/>
    <w:rsid w:val="002D36BE"/>
    <w:rsid w:val="002D4FE0"/>
    <w:rsid w:val="002D699B"/>
    <w:rsid w:val="002F685B"/>
    <w:rsid w:val="003027A2"/>
    <w:rsid w:val="00306EE7"/>
    <w:rsid w:val="003229B2"/>
    <w:rsid w:val="00325FBE"/>
    <w:rsid w:val="0032791A"/>
    <w:rsid w:val="00334AB0"/>
    <w:rsid w:val="003510A8"/>
    <w:rsid w:val="00357B97"/>
    <w:rsid w:val="00360289"/>
    <w:rsid w:val="0037605A"/>
    <w:rsid w:val="00382AB0"/>
    <w:rsid w:val="00385B08"/>
    <w:rsid w:val="00390644"/>
    <w:rsid w:val="003A11E5"/>
    <w:rsid w:val="003A24CA"/>
    <w:rsid w:val="003A5199"/>
    <w:rsid w:val="003A5B88"/>
    <w:rsid w:val="003B2F98"/>
    <w:rsid w:val="003B3EFF"/>
    <w:rsid w:val="003B4F1F"/>
    <w:rsid w:val="003C126D"/>
    <w:rsid w:val="003C2EDE"/>
    <w:rsid w:val="003D3462"/>
    <w:rsid w:val="003D6872"/>
    <w:rsid w:val="003F5181"/>
    <w:rsid w:val="003F6B53"/>
    <w:rsid w:val="00406A3D"/>
    <w:rsid w:val="004079CE"/>
    <w:rsid w:val="00411AA8"/>
    <w:rsid w:val="00411EA8"/>
    <w:rsid w:val="004371E8"/>
    <w:rsid w:val="004429D3"/>
    <w:rsid w:val="00444E6A"/>
    <w:rsid w:val="00454077"/>
    <w:rsid w:val="00455A97"/>
    <w:rsid w:val="00457556"/>
    <w:rsid w:val="004575F5"/>
    <w:rsid w:val="00465C0B"/>
    <w:rsid w:val="00471451"/>
    <w:rsid w:val="00471F96"/>
    <w:rsid w:val="00480DFF"/>
    <w:rsid w:val="00495F5E"/>
    <w:rsid w:val="00497E4A"/>
    <w:rsid w:val="004A1EC1"/>
    <w:rsid w:val="004A2AC1"/>
    <w:rsid w:val="004A5EDD"/>
    <w:rsid w:val="004A7F75"/>
    <w:rsid w:val="004B271C"/>
    <w:rsid w:val="004B40A1"/>
    <w:rsid w:val="004B480B"/>
    <w:rsid w:val="004C3A9B"/>
    <w:rsid w:val="004C4A35"/>
    <w:rsid w:val="004C4DDB"/>
    <w:rsid w:val="004D3E7E"/>
    <w:rsid w:val="004D6B3B"/>
    <w:rsid w:val="004D727C"/>
    <w:rsid w:val="004E09EF"/>
    <w:rsid w:val="004E1D57"/>
    <w:rsid w:val="004E1EBF"/>
    <w:rsid w:val="004E6744"/>
    <w:rsid w:val="004E7A66"/>
    <w:rsid w:val="004F2F49"/>
    <w:rsid w:val="005032DD"/>
    <w:rsid w:val="00503602"/>
    <w:rsid w:val="00504114"/>
    <w:rsid w:val="0050595F"/>
    <w:rsid w:val="005079B5"/>
    <w:rsid w:val="00515862"/>
    <w:rsid w:val="0052054D"/>
    <w:rsid w:val="00521AD6"/>
    <w:rsid w:val="00524778"/>
    <w:rsid w:val="0052558C"/>
    <w:rsid w:val="00525A83"/>
    <w:rsid w:val="0052756B"/>
    <w:rsid w:val="00527664"/>
    <w:rsid w:val="005320D9"/>
    <w:rsid w:val="00553105"/>
    <w:rsid w:val="00555AEF"/>
    <w:rsid w:val="00556B2B"/>
    <w:rsid w:val="00563160"/>
    <w:rsid w:val="00564400"/>
    <w:rsid w:val="00565E1D"/>
    <w:rsid w:val="00571544"/>
    <w:rsid w:val="0057380D"/>
    <w:rsid w:val="005854C3"/>
    <w:rsid w:val="005870AE"/>
    <w:rsid w:val="005B2203"/>
    <w:rsid w:val="005B6646"/>
    <w:rsid w:val="005C1227"/>
    <w:rsid w:val="005D2C5A"/>
    <w:rsid w:val="005E7C91"/>
    <w:rsid w:val="005F202F"/>
    <w:rsid w:val="005F6B6E"/>
    <w:rsid w:val="0060240C"/>
    <w:rsid w:val="0060538C"/>
    <w:rsid w:val="00614831"/>
    <w:rsid w:val="00615F80"/>
    <w:rsid w:val="00622305"/>
    <w:rsid w:val="0062691D"/>
    <w:rsid w:val="00630AF5"/>
    <w:rsid w:val="00630E00"/>
    <w:rsid w:val="00635694"/>
    <w:rsid w:val="00642679"/>
    <w:rsid w:val="00645C3D"/>
    <w:rsid w:val="00646B57"/>
    <w:rsid w:val="00661B09"/>
    <w:rsid w:val="006750BC"/>
    <w:rsid w:val="00683595"/>
    <w:rsid w:val="0069041A"/>
    <w:rsid w:val="006A18E7"/>
    <w:rsid w:val="006A1E9E"/>
    <w:rsid w:val="006A37DF"/>
    <w:rsid w:val="006B1C41"/>
    <w:rsid w:val="006B2695"/>
    <w:rsid w:val="006B3ECC"/>
    <w:rsid w:val="006B599E"/>
    <w:rsid w:val="006C258E"/>
    <w:rsid w:val="006D271D"/>
    <w:rsid w:val="006D3C07"/>
    <w:rsid w:val="006F2EB5"/>
    <w:rsid w:val="006F4D42"/>
    <w:rsid w:val="00706704"/>
    <w:rsid w:val="00716B54"/>
    <w:rsid w:val="00722757"/>
    <w:rsid w:val="007237C7"/>
    <w:rsid w:val="0072722D"/>
    <w:rsid w:val="007422A8"/>
    <w:rsid w:val="00747B48"/>
    <w:rsid w:val="00754AB9"/>
    <w:rsid w:val="00763BCB"/>
    <w:rsid w:val="00764AD2"/>
    <w:rsid w:val="00773A07"/>
    <w:rsid w:val="0078065A"/>
    <w:rsid w:val="00781EBA"/>
    <w:rsid w:val="00790DD5"/>
    <w:rsid w:val="00793132"/>
    <w:rsid w:val="00796F8C"/>
    <w:rsid w:val="007A2242"/>
    <w:rsid w:val="007A3CFF"/>
    <w:rsid w:val="007B0B88"/>
    <w:rsid w:val="007B4BA9"/>
    <w:rsid w:val="007C5208"/>
    <w:rsid w:val="007C5C1E"/>
    <w:rsid w:val="007D2DEB"/>
    <w:rsid w:val="007D45DE"/>
    <w:rsid w:val="0080341C"/>
    <w:rsid w:val="008052EF"/>
    <w:rsid w:val="00806D21"/>
    <w:rsid w:val="00807F6F"/>
    <w:rsid w:val="00815C75"/>
    <w:rsid w:val="00815EB5"/>
    <w:rsid w:val="00815F95"/>
    <w:rsid w:val="0081610E"/>
    <w:rsid w:val="00821033"/>
    <w:rsid w:val="00834970"/>
    <w:rsid w:val="00845329"/>
    <w:rsid w:val="00846E89"/>
    <w:rsid w:val="00846F33"/>
    <w:rsid w:val="00851F37"/>
    <w:rsid w:val="00860D27"/>
    <w:rsid w:val="008614DB"/>
    <w:rsid w:val="0086231C"/>
    <w:rsid w:val="00865540"/>
    <w:rsid w:val="00871AE6"/>
    <w:rsid w:val="0087551B"/>
    <w:rsid w:val="008755C8"/>
    <w:rsid w:val="00882D23"/>
    <w:rsid w:val="008838FF"/>
    <w:rsid w:val="008876BC"/>
    <w:rsid w:val="008A14FB"/>
    <w:rsid w:val="008A17FF"/>
    <w:rsid w:val="008A5736"/>
    <w:rsid w:val="008B2F30"/>
    <w:rsid w:val="008C7733"/>
    <w:rsid w:val="008E0C11"/>
    <w:rsid w:val="008E7707"/>
    <w:rsid w:val="008F6939"/>
    <w:rsid w:val="008F74D0"/>
    <w:rsid w:val="00906BC5"/>
    <w:rsid w:val="00937A3E"/>
    <w:rsid w:val="009410EC"/>
    <w:rsid w:val="009468C4"/>
    <w:rsid w:val="00953600"/>
    <w:rsid w:val="00954EE8"/>
    <w:rsid w:val="0095706B"/>
    <w:rsid w:val="00974302"/>
    <w:rsid w:val="009842FC"/>
    <w:rsid w:val="00984F37"/>
    <w:rsid w:val="009861DE"/>
    <w:rsid w:val="00987BCA"/>
    <w:rsid w:val="00987C1B"/>
    <w:rsid w:val="00987D30"/>
    <w:rsid w:val="00993055"/>
    <w:rsid w:val="009974CF"/>
    <w:rsid w:val="009A7CF4"/>
    <w:rsid w:val="009B2B3B"/>
    <w:rsid w:val="009B4408"/>
    <w:rsid w:val="009B7EE3"/>
    <w:rsid w:val="009C050E"/>
    <w:rsid w:val="009C1111"/>
    <w:rsid w:val="009C3D77"/>
    <w:rsid w:val="009C433F"/>
    <w:rsid w:val="009D78BC"/>
    <w:rsid w:val="009E1CB7"/>
    <w:rsid w:val="009E1EA7"/>
    <w:rsid w:val="009F0DC9"/>
    <w:rsid w:val="009F2DCC"/>
    <w:rsid w:val="009F3D54"/>
    <w:rsid w:val="00A03497"/>
    <w:rsid w:val="00A06647"/>
    <w:rsid w:val="00A13985"/>
    <w:rsid w:val="00A15511"/>
    <w:rsid w:val="00A20F51"/>
    <w:rsid w:val="00A21E8D"/>
    <w:rsid w:val="00A22BFA"/>
    <w:rsid w:val="00A30EB1"/>
    <w:rsid w:val="00A31E60"/>
    <w:rsid w:val="00A34891"/>
    <w:rsid w:val="00A3544A"/>
    <w:rsid w:val="00A3692C"/>
    <w:rsid w:val="00A3733B"/>
    <w:rsid w:val="00A520A3"/>
    <w:rsid w:val="00A60C76"/>
    <w:rsid w:val="00A73477"/>
    <w:rsid w:val="00A768CB"/>
    <w:rsid w:val="00A8325A"/>
    <w:rsid w:val="00A959C1"/>
    <w:rsid w:val="00A95AB3"/>
    <w:rsid w:val="00AA1001"/>
    <w:rsid w:val="00AA5D0D"/>
    <w:rsid w:val="00AB036B"/>
    <w:rsid w:val="00AB36DB"/>
    <w:rsid w:val="00AB40F7"/>
    <w:rsid w:val="00AB432B"/>
    <w:rsid w:val="00AB4ED6"/>
    <w:rsid w:val="00AB637F"/>
    <w:rsid w:val="00AC1F65"/>
    <w:rsid w:val="00AC3A9C"/>
    <w:rsid w:val="00AF4B64"/>
    <w:rsid w:val="00B13E34"/>
    <w:rsid w:val="00B14B09"/>
    <w:rsid w:val="00B17CD1"/>
    <w:rsid w:val="00B340D2"/>
    <w:rsid w:val="00B358E3"/>
    <w:rsid w:val="00B36E1C"/>
    <w:rsid w:val="00B37624"/>
    <w:rsid w:val="00B4206D"/>
    <w:rsid w:val="00B70EC2"/>
    <w:rsid w:val="00B7343B"/>
    <w:rsid w:val="00B76BA3"/>
    <w:rsid w:val="00B7707F"/>
    <w:rsid w:val="00B81A57"/>
    <w:rsid w:val="00B83C35"/>
    <w:rsid w:val="00B93E66"/>
    <w:rsid w:val="00B952D6"/>
    <w:rsid w:val="00BA5355"/>
    <w:rsid w:val="00BA5D21"/>
    <w:rsid w:val="00BB0740"/>
    <w:rsid w:val="00BB3F83"/>
    <w:rsid w:val="00BB54D9"/>
    <w:rsid w:val="00BB5611"/>
    <w:rsid w:val="00BC0E5C"/>
    <w:rsid w:val="00BC3628"/>
    <w:rsid w:val="00BC4509"/>
    <w:rsid w:val="00BD38EF"/>
    <w:rsid w:val="00BE7DAF"/>
    <w:rsid w:val="00BF5AF2"/>
    <w:rsid w:val="00C00947"/>
    <w:rsid w:val="00C025BB"/>
    <w:rsid w:val="00C118D1"/>
    <w:rsid w:val="00C120BF"/>
    <w:rsid w:val="00C12283"/>
    <w:rsid w:val="00C128F9"/>
    <w:rsid w:val="00C1360B"/>
    <w:rsid w:val="00C20B50"/>
    <w:rsid w:val="00C20D5F"/>
    <w:rsid w:val="00C214F2"/>
    <w:rsid w:val="00C230EC"/>
    <w:rsid w:val="00C30705"/>
    <w:rsid w:val="00C338AE"/>
    <w:rsid w:val="00C36666"/>
    <w:rsid w:val="00C3690F"/>
    <w:rsid w:val="00C4250E"/>
    <w:rsid w:val="00C437AC"/>
    <w:rsid w:val="00C44B13"/>
    <w:rsid w:val="00C47FF8"/>
    <w:rsid w:val="00C6616F"/>
    <w:rsid w:val="00C71BB3"/>
    <w:rsid w:val="00C72157"/>
    <w:rsid w:val="00C77999"/>
    <w:rsid w:val="00C77A2F"/>
    <w:rsid w:val="00C82113"/>
    <w:rsid w:val="00C83163"/>
    <w:rsid w:val="00C873B7"/>
    <w:rsid w:val="00C9006C"/>
    <w:rsid w:val="00C90163"/>
    <w:rsid w:val="00CA2E8B"/>
    <w:rsid w:val="00CA6B6E"/>
    <w:rsid w:val="00CA704A"/>
    <w:rsid w:val="00CA7D68"/>
    <w:rsid w:val="00CB4CDA"/>
    <w:rsid w:val="00CC025B"/>
    <w:rsid w:val="00CC0E43"/>
    <w:rsid w:val="00CC1C46"/>
    <w:rsid w:val="00CD4DFA"/>
    <w:rsid w:val="00CD7458"/>
    <w:rsid w:val="00CE4E59"/>
    <w:rsid w:val="00D00AA1"/>
    <w:rsid w:val="00D03AFA"/>
    <w:rsid w:val="00D05222"/>
    <w:rsid w:val="00D117DB"/>
    <w:rsid w:val="00D12C28"/>
    <w:rsid w:val="00D13869"/>
    <w:rsid w:val="00D153A8"/>
    <w:rsid w:val="00D171B6"/>
    <w:rsid w:val="00D25E66"/>
    <w:rsid w:val="00D302A3"/>
    <w:rsid w:val="00D3173D"/>
    <w:rsid w:val="00D3426F"/>
    <w:rsid w:val="00D344A5"/>
    <w:rsid w:val="00D41B22"/>
    <w:rsid w:val="00D5284B"/>
    <w:rsid w:val="00D5284C"/>
    <w:rsid w:val="00D62CB0"/>
    <w:rsid w:val="00D62EA0"/>
    <w:rsid w:val="00D630B5"/>
    <w:rsid w:val="00D6703B"/>
    <w:rsid w:val="00D6706D"/>
    <w:rsid w:val="00D76208"/>
    <w:rsid w:val="00D7685B"/>
    <w:rsid w:val="00D81392"/>
    <w:rsid w:val="00D847C5"/>
    <w:rsid w:val="00D86543"/>
    <w:rsid w:val="00D94485"/>
    <w:rsid w:val="00DB0965"/>
    <w:rsid w:val="00DB1147"/>
    <w:rsid w:val="00DB5A61"/>
    <w:rsid w:val="00DC61CB"/>
    <w:rsid w:val="00DC69FE"/>
    <w:rsid w:val="00DD25F0"/>
    <w:rsid w:val="00DD7ED3"/>
    <w:rsid w:val="00DE5394"/>
    <w:rsid w:val="00DF50EF"/>
    <w:rsid w:val="00E016DD"/>
    <w:rsid w:val="00E10B52"/>
    <w:rsid w:val="00E120D8"/>
    <w:rsid w:val="00E12FCE"/>
    <w:rsid w:val="00E214EA"/>
    <w:rsid w:val="00E2256D"/>
    <w:rsid w:val="00E231EF"/>
    <w:rsid w:val="00E2640B"/>
    <w:rsid w:val="00E30C94"/>
    <w:rsid w:val="00E31F1B"/>
    <w:rsid w:val="00E40E5C"/>
    <w:rsid w:val="00E42FC6"/>
    <w:rsid w:val="00E45619"/>
    <w:rsid w:val="00E46DF4"/>
    <w:rsid w:val="00E47354"/>
    <w:rsid w:val="00E56A9D"/>
    <w:rsid w:val="00E604C1"/>
    <w:rsid w:val="00E6162B"/>
    <w:rsid w:val="00E86335"/>
    <w:rsid w:val="00EA2DA3"/>
    <w:rsid w:val="00EA32AB"/>
    <w:rsid w:val="00EA501E"/>
    <w:rsid w:val="00EA56B3"/>
    <w:rsid w:val="00EC3223"/>
    <w:rsid w:val="00EC442B"/>
    <w:rsid w:val="00ED4CDD"/>
    <w:rsid w:val="00ED50FF"/>
    <w:rsid w:val="00ED7F66"/>
    <w:rsid w:val="00EE0491"/>
    <w:rsid w:val="00EE449D"/>
    <w:rsid w:val="00EF1540"/>
    <w:rsid w:val="00EF2944"/>
    <w:rsid w:val="00EF4805"/>
    <w:rsid w:val="00F000FC"/>
    <w:rsid w:val="00F033B2"/>
    <w:rsid w:val="00F06384"/>
    <w:rsid w:val="00F110F0"/>
    <w:rsid w:val="00F136F1"/>
    <w:rsid w:val="00F20B07"/>
    <w:rsid w:val="00F23A1C"/>
    <w:rsid w:val="00F25E64"/>
    <w:rsid w:val="00F33392"/>
    <w:rsid w:val="00F509D2"/>
    <w:rsid w:val="00F52316"/>
    <w:rsid w:val="00F60A60"/>
    <w:rsid w:val="00F67330"/>
    <w:rsid w:val="00F71E2D"/>
    <w:rsid w:val="00F72383"/>
    <w:rsid w:val="00F72D1C"/>
    <w:rsid w:val="00F836E1"/>
    <w:rsid w:val="00F8478B"/>
    <w:rsid w:val="00F95C8F"/>
    <w:rsid w:val="00FA5309"/>
    <w:rsid w:val="00FA6DAD"/>
    <w:rsid w:val="00FA7AA1"/>
    <w:rsid w:val="00FB0418"/>
    <w:rsid w:val="00FB7919"/>
    <w:rsid w:val="00FC4661"/>
    <w:rsid w:val="00FE0A74"/>
    <w:rsid w:val="00FF01ED"/>
    <w:rsid w:val="00FF61F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28B5C-55D9-4CE3-AACD-055C77F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860D27"/>
    <w:pPr>
      <w:keepNext/>
      <w:widowControl/>
      <w:suppressAutoHyphens w:val="0"/>
      <w:spacing w:before="240"/>
      <w:jc w:val="left"/>
      <w:outlineLvl w:val="1"/>
    </w:pPr>
    <w:rPr>
      <w:rFonts w:ascii="Arial Narrow" w:eastAsia="Times New Roman" w:hAnsi="Arial Narrow"/>
      <w:b/>
      <w:sz w:val="22"/>
      <w:lang w:val="en-AU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E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customStyle="1" w:styleId="Default">
    <w:name w:val="Default"/>
    <w:rsid w:val="003A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45329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TitleChar">
    <w:name w:val="Title Char"/>
    <w:basedOn w:val="DefaultParagraphFont"/>
    <w:link w:val="Title"/>
    <w:rsid w:val="00845329"/>
    <w:rPr>
      <w:rFonts w:ascii="Times New Roman" w:eastAsia="Times New Roman" w:hAnsi="Times New Roman" w:cs="Times New Roman"/>
      <w:b/>
      <w:bCs/>
      <w:lang w:eastAsia="fr-FR"/>
    </w:rPr>
  </w:style>
  <w:style w:type="character" w:styleId="FootnoteReference">
    <w:name w:val="footnote reference"/>
    <w:uiPriority w:val="99"/>
    <w:unhideWhenUsed/>
    <w:rsid w:val="0045407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860D27"/>
    <w:rPr>
      <w:rFonts w:ascii="Arial Narrow" w:eastAsia="Times New Roman" w:hAnsi="Arial Narrow" w:cs="Times New Roman"/>
      <w:b/>
      <w:szCs w:val="20"/>
      <w:lang w:val="en-AU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1A4272"/>
    <w:pPr>
      <w:widowControl/>
      <w:suppressAutoHyphens w:val="0"/>
      <w:jc w:val="left"/>
    </w:pPr>
    <w:rPr>
      <w:rFonts w:ascii="Times New Roman" w:eastAsia="Times New Roman" w:hAnsi="Times New Roman"/>
      <w:sz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2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B3F8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71E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 w:eastAsia="ar-SA"/>
    </w:rPr>
  </w:style>
  <w:style w:type="paragraph" w:customStyle="1" w:styleId="Listepuces31">
    <w:name w:val="Liste à puces 31"/>
    <w:basedOn w:val="Normal"/>
    <w:rsid w:val="00F71E2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ADCS</dc:creator>
  <cp:lastModifiedBy>Yves</cp:lastModifiedBy>
  <cp:revision>2</cp:revision>
  <dcterms:created xsi:type="dcterms:W3CDTF">2017-06-02T10:08:00Z</dcterms:created>
  <dcterms:modified xsi:type="dcterms:W3CDTF">2017-06-02T10:08:00Z</dcterms:modified>
</cp:coreProperties>
</file>