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C81F" w14:textId="1A7C8AFD" w:rsidR="00DF6D9F" w:rsidRPr="00940D33" w:rsidRDefault="00DF6D9F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 w:rsidRPr="00940D33">
        <w:rPr>
          <w:szCs w:val="22"/>
          <w:lang w:val="en-GB"/>
        </w:rPr>
        <w:t xml:space="preserve">Paper for Consideration by </w:t>
      </w:r>
      <w:r w:rsidR="001917D7" w:rsidRPr="00940D33">
        <w:rPr>
          <w:szCs w:val="22"/>
          <w:lang w:val="en-GB"/>
        </w:rPr>
        <w:t>NIPWG</w:t>
      </w:r>
    </w:p>
    <w:p w14:paraId="5BA08E5F" w14:textId="31FAFE00" w:rsidR="00523A0A" w:rsidRPr="00940D33" w:rsidRDefault="00995635" w:rsidP="00995635">
      <w:pPr>
        <w:tabs>
          <w:tab w:val="center" w:pos="4536"/>
          <w:tab w:val="right" w:pos="9072"/>
        </w:tabs>
        <w:rPr>
          <w:b/>
          <w:lang w:val="en-GB"/>
        </w:rPr>
      </w:pPr>
      <w:r>
        <w:rPr>
          <w:b/>
          <w:lang w:val="en-GB"/>
        </w:rPr>
        <w:tab/>
      </w:r>
      <w:r w:rsidR="001917D7" w:rsidRPr="00940D33">
        <w:rPr>
          <w:b/>
          <w:lang w:val="en-GB"/>
        </w:rPr>
        <w:t>Introduction of MRN in Product Specifications</w:t>
      </w:r>
      <w:r>
        <w:rPr>
          <w:b/>
          <w:lang w:val="en-GB"/>
        </w:rPr>
        <w:tab/>
      </w:r>
    </w:p>
    <w:p w14:paraId="46A8BDCB" w14:textId="742035F2" w:rsidR="00DF6D9F" w:rsidRPr="00940D33" w:rsidRDefault="00DF6D9F" w:rsidP="00DF6D9F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DF6D9F" w:rsidRPr="00940D33" w14:paraId="46BEA7F6" w14:textId="77777777" w:rsidTr="00DF6D9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85EDAF" w14:textId="77777777" w:rsidR="00DF6D9F" w:rsidRPr="00940D33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940D33">
              <w:rPr>
                <w:rFonts w:ascii="Arial Narrow" w:hAnsi="Arial Narrow"/>
                <w:lang w:val="en-GB"/>
              </w:rPr>
              <w:br w:type="page"/>
            </w:r>
            <w:r w:rsidRPr="00940D33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FC43B7" w14:textId="19875902" w:rsidR="00DF6D9F" w:rsidRPr="00940D33" w:rsidRDefault="0021372A" w:rsidP="00DE0176">
            <w:pPr>
              <w:rPr>
                <w:rFonts w:ascii="Arial Narrow" w:hAnsi="Arial Narrow"/>
                <w:lang w:val="en-GB"/>
              </w:rPr>
            </w:pPr>
            <w:r w:rsidRPr="00940D33">
              <w:rPr>
                <w:rFonts w:ascii="Arial Narrow" w:hAnsi="Arial Narrow"/>
                <w:lang w:val="en-GB"/>
              </w:rPr>
              <w:t>Germany</w:t>
            </w:r>
          </w:p>
        </w:tc>
      </w:tr>
      <w:tr w:rsidR="00DF6D9F" w:rsidRPr="00940D33" w14:paraId="67FF44E2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E522D" w14:textId="77777777" w:rsidR="00DF6D9F" w:rsidRPr="00940D33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940D33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3389A" w14:textId="38272508" w:rsidR="00DF6D9F" w:rsidRPr="00940D33" w:rsidRDefault="001917D7" w:rsidP="003217EC">
            <w:pPr>
              <w:rPr>
                <w:rFonts w:ascii="Arial Narrow" w:hAnsi="Arial Narrow"/>
                <w:lang w:val="en-GB"/>
              </w:rPr>
            </w:pPr>
            <w:r w:rsidRPr="00940D33">
              <w:rPr>
                <w:rFonts w:ascii="Arial Narrow" w:hAnsi="Arial Narrow"/>
                <w:lang w:val="en-GB"/>
              </w:rPr>
              <w:t>The usage of MRN is essential for ensuring an operational status of S-100 based ECDIS providing a multilayer interoperable system. MRN is important to tailor-made information in S-100 based ECDIS.</w:t>
            </w:r>
          </w:p>
        </w:tc>
      </w:tr>
      <w:tr w:rsidR="00DF6D9F" w:rsidRPr="00940D33" w14:paraId="15C5DE18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2833E" w14:textId="77777777" w:rsidR="00DF6D9F" w:rsidRPr="00940D33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940D33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AB52FB" w14:textId="77777777" w:rsidR="008E6B17" w:rsidRPr="00940D33" w:rsidRDefault="001917D7" w:rsidP="00B77247">
            <w:pPr>
              <w:rPr>
                <w:rFonts w:ascii="Arial Narrow" w:hAnsi="Arial Narrow"/>
                <w:lang w:val="en-GB"/>
              </w:rPr>
            </w:pPr>
            <w:r w:rsidRPr="00940D33">
              <w:rPr>
                <w:rFonts w:ascii="Arial Narrow" w:hAnsi="Arial Narrow"/>
                <w:lang w:val="en-GB"/>
              </w:rPr>
              <w:t>S-100 Ed. 5</w:t>
            </w:r>
          </w:p>
          <w:p w14:paraId="4671C601" w14:textId="5FF23FDF" w:rsidR="003809AA" w:rsidRPr="00940D33" w:rsidRDefault="003809AA" w:rsidP="00B77247">
            <w:pPr>
              <w:rPr>
                <w:rFonts w:ascii="Arial Narrow" w:hAnsi="Arial Narrow"/>
                <w:lang w:val="en-GB"/>
              </w:rPr>
            </w:pPr>
            <w:r w:rsidRPr="00940D33">
              <w:rPr>
                <w:rFonts w:ascii="Arial Narrow" w:hAnsi="Arial Narrow"/>
                <w:lang w:val="en-GB"/>
              </w:rPr>
              <w:t>S-98</w:t>
            </w:r>
          </w:p>
        </w:tc>
      </w:tr>
      <w:tr w:rsidR="00DF6D9F" w:rsidRPr="00940D33" w14:paraId="64E82705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60E5E" w14:textId="77777777" w:rsidR="00DF6D9F" w:rsidRPr="00940D33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940D33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0936" w14:textId="19188A56" w:rsidR="00DF6D9F" w:rsidRPr="00940D33" w:rsidRDefault="001917D7" w:rsidP="00DF6D9F">
            <w:pPr>
              <w:rPr>
                <w:rFonts w:ascii="Arial Narrow" w:hAnsi="Arial Narrow"/>
                <w:lang w:val="en-GB"/>
              </w:rPr>
            </w:pPr>
            <w:r w:rsidRPr="00940D33">
              <w:rPr>
                <w:rFonts w:ascii="Arial Narrow" w:hAnsi="Arial Narrow"/>
                <w:lang w:val="en-GB"/>
              </w:rPr>
              <w:t>S-100 ECDIS</w:t>
            </w:r>
          </w:p>
        </w:tc>
      </w:tr>
    </w:tbl>
    <w:p w14:paraId="392DD2D1" w14:textId="77777777" w:rsidR="00DF6D9F" w:rsidRPr="00940D33" w:rsidRDefault="00DF6D9F" w:rsidP="00DF6D9F">
      <w:pPr>
        <w:rPr>
          <w:rFonts w:ascii="Arial Narrow" w:hAnsi="Arial Narrow"/>
          <w:b/>
          <w:lang w:val="en-GB"/>
        </w:rPr>
      </w:pPr>
    </w:p>
    <w:p w14:paraId="2DFD7A43" w14:textId="215AA648" w:rsidR="00534D4A" w:rsidRPr="00940D33" w:rsidRDefault="00016129" w:rsidP="00DF6D9F">
      <w:pPr>
        <w:rPr>
          <w:rFonts w:ascii="Arial Narrow" w:eastAsia="Times New Roman" w:hAnsi="Arial Narrow" w:cs="Arial"/>
          <w:b/>
          <w:color w:val="000000"/>
          <w:lang w:val="en-GB" w:eastAsia="fr-FR"/>
        </w:rPr>
      </w:pPr>
      <w:r w:rsidRPr="00940D33">
        <w:rPr>
          <w:rFonts w:ascii="Arial Narrow" w:eastAsia="Times New Roman" w:hAnsi="Arial Narrow" w:cs="Arial"/>
          <w:b/>
          <w:color w:val="000000"/>
          <w:lang w:val="en-GB" w:eastAsia="fr-FR"/>
        </w:rPr>
        <w:t>Introduction</w:t>
      </w:r>
      <w:r w:rsidR="00E70260" w:rsidRPr="00940D33">
        <w:rPr>
          <w:rFonts w:ascii="Arial Narrow" w:eastAsia="Times New Roman" w:hAnsi="Arial Narrow" w:cs="Arial"/>
          <w:b/>
          <w:color w:val="000000"/>
          <w:lang w:val="en-GB" w:eastAsia="fr-FR"/>
        </w:rPr>
        <w:t>/B</w:t>
      </w:r>
      <w:r w:rsidR="00DF6D9F" w:rsidRPr="00940D33">
        <w:rPr>
          <w:rFonts w:ascii="Arial Narrow" w:eastAsia="Times New Roman" w:hAnsi="Arial Narrow" w:cs="Arial"/>
          <w:b/>
          <w:color w:val="000000"/>
          <w:lang w:val="en-GB" w:eastAsia="fr-FR"/>
        </w:rPr>
        <w:t>ackground</w:t>
      </w:r>
    </w:p>
    <w:p w14:paraId="3A287CBE" w14:textId="2979E399" w:rsidR="00E16AA2" w:rsidRPr="00940D33" w:rsidRDefault="006971EF" w:rsidP="00E16AA2">
      <w:pPr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 w:rsidRPr="00940D33">
        <w:rPr>
          <w:rFonts w:ascii="Arial Narrow" w:eastAsia="Times New Roman" w:hAnsi="Arial Narrow" w:cs="Arial"/>
          <w:color w:val="000000"/>
          <w:lang w:val="en-GB" w:eastAsia="fr-FR"/>
        </w:rPr>
        <w:t xml:space="preserve">Keeping the necessity </w:t>
      </w:r>
      <w:r w:rsidR="00812415" w:rsidRPr="00940D33">
        <w:rPr>
          <w:rFonts w:ascii="Arial Narrow" w:eastAsia="Times New Roman" w:hAnsi="Arial Narrow" w:cs="Arial"/>
          <w:color w:val="000000"/>
          <w:lang w:val="en-GB" w:eastAsia="fr-FR"/>
        </w:rPr>
        <w:t>of enabling S-100 complaint product</w:t>
      </w:r>
      <w:r w:rsidR="002C69FB">
        <w:rPr>
          <w:rFonts w:ascii="Arial Narrow" w:eastAsia="Times New Roman" w:hAnsi="Arial Narrow" w:cs="Arial"/>
          <w:color w:val="000000"/>
          <w:lang w:val="en-GB" w:eastAsia="fr-FR"/>
        </w:rPr>
        <w:t>s to be</w:t>
      </w:r>
      <w:r w:rsidR="00812415" w:rsidRPr="00940D33">
        <w:rPr>
          <w:rFonts w:ascii="Arial Narrow" w:eastAsia="Times New Roman" w:hAnsi="Arial Narrow" w:cs="Arial"/>
          <w:color w:val="000000"/>
          <w:lang w:val="en-GB" w:eastAsia="fr-FR"/>
        </w:rPr>
        <w:t xml:space="preserve"> interoperable according to S-98, IALA developed the Marine Resource Name concept.  This concept was integrated in S-100 Edition</w:t>
      </w:r>
      <w:r w:rsidR="0009653A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 w:rsidR="00812415" w:rsidRPr="00940D33">
        <w:rPr>
          <w:rFonts w:ascii="Arial Narrow" w:eastAsia="Times New Roman" w:hAnsi="Arial Narrow" w:cs="Arial"/>
          <w:color w:val="000000"/>
          <w:lang w:val="en-GB" w:eastAsia="fr-FR"/>
        </w:rPr>
        <w:t>5</w:t>
      </w:r>
      <w:r w:rsidR="00E16AA2" w:rsidRPr="00940D33">
        <w:rPr>
          <w:rFonts w:ascii="Arial Narrow" w:eastAsia="Times New Roman" w:hAnsi="Arial Narrow" w:cs="Arial"/>
          <w:color w:val="000000"/>
          <w:lang w:val="en-GB" w:eastAsia="fr-FR"/>
        </w:rPr>
        <w:t>. Appendix</w:t>
      </w:r>
      <w:r w:rsidR="0009653A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 w:rsidR="00E16AA2" w:rsidRPr="00940D33">
        <w:rPr>
          <w:rFonts w:ascii="Arial Narrow" w:eastAsia="Times New Roman" w:hAnsi="Arial Narrow" w:cs="Arial"/>
          <w:color w:val="000000"/>
          <w:lang w:val="en-GB" w:eastAsia="fr-FR"/>
        </w:rPr>
        <w:t>11-E provides Guidance on Unique Identifiers.  S-100 Edition</w:t>
      </w:r>
      <w:r w:rsidR="0009653A">
        <w:rPr>
          <w:rFonts w:ascii="Arial Narrow" w:eastAsia="Times New Roman" w:hAnsi="Arial Narrow" w:cs="Arial"/>
          <w:color w:val="000000"/>
          <w:lang w:val="en-GB" w:eastAsia="fr-FR"/>
        </w:rPr>
        <w:t> </w:t>
      </w:r>
      <w:r w:rsidR="00C63ADC">
        <w:rPr>
          <w:rFonts w:ascii="Arial Narrow" w:eastAsia="Times New Roman" w:hAnsi="Arial Narrow" w:cs="Arial"/>
          <w:color w:val="000000"/>
          <w:lang w:val="en-GB" w:eastAsia="fr-FR"/>
        </w:rPr>
        <w:t>5</w:t>
      </w:r>
      <w:r w:rsidR="00E16AA2" w:rsidRPr="00940D33">
        <w:rPr>
          <w:rFonts w:ascii="Arial Narrow" w:eastAsia="Times New Roman" w:hAnsi="Arial Narrow" w:cs="Arial"/>
          <w:color w:val="000000"/>
          <w:lang w:val="en-GB" w:eastAsia="fr-FR"/>
        </w:rPr>
        <w:t xml:space="preserve"> advi</w:t>
      </w:r>
      <w:r w:rsidR="00C63ADC">
        <w:rPr>
          <w:rFonts w:ascii="Arial Narrow" w:eastAsia="Times New Roman" w:hAnsi="Arial Narrow" w:cs="Arial"/>
          <w:color w:val="000000"/>
          <w:lang w:val="en-GB" w:eastAsia="fr-FR"/>
        </w:rPr>
        <w:t>s</w:t>
      </w:r>
      <w:r w:rsidR="00E16AA2" w:rsidRPr="00940D33">
        <w:rPr>
          <w:rFonts w:ascii="Arial Narrow" w:eastAsia="Times New Roman" w:hAnsi="Arial Narrow" w:cs="Arial"/>
          <w:color w:val="000000"/>
          <w:lang w:val="en-GB" w:eastAsia="fr-FR"/>
        </w:rPr>
        <w:t>es that the specification of persistent global identifiers for feature and information objects is strongly recommended.</w:t>
      </w:r>
    </w:p>
    <w:p w14:paraId="238C2C1D" w14:textId="5EDB58CA" w:rsidR="00812415" w:rsidRPr="00940D33" w:rsidRDefault="00161B2C" w:rsidP="00812415">
      <w:pPr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 w:rsidRPr="00940D33">
        <w:rPr>
          <w:rFonts w:ascii="Arial Narrow" w:eastAsia="Times New Roman" w:hAnsi="Arial Narrow" w:cs="Arial"/>
          <w:color w:val="000000"/>
          <w:lang w:val="en-GB" w:eastAsia="fr-FR"/>
        </w:rPr>
        <w:t xml:space="preserve">Taking into account that more and more S-100 compliant product specifications </w:t>
      </w:r>
      <w:r w:rsidR="00C63ADC">
        <w:rPr>
          <w:rFonts w:ascii="Arial Narrow" w:eastAsia="Times New Roman" w:hAnsi="Arial Narrow" w:cs="Arial"/>
          <w:color w:val="000000"/>
          <w:lang w:val="en-GB" w:eastAsia="fr-FR"/>
        </w:rPr>
        <w:t xml:space="preserve">are </w:t>
      </w:r>
      <w:r w:rsidRPr="00940D33">
        <w:rPr>
          <w:rFonts w:ascii="Arial Narrow" w:eastAsia="Times New Roman" w:hAnsi="Arial Narrow" w:cs="Arial"/>
          <w:color w:val="000000"/>
          <w:lang w:val="en-GB" w:eastAsia="fr-FR"/>
        </w:rPr>
        <w:t>matur</w:t>
      </w:r>
      <w:r w:rsidR="00C63ADC">
        <w:rPr>
          <w:rFonts w:ascii="Arial Narrow" w:eastAsia="Times New Roman" w:hAnsi="Arial Narrow" w:cs="Arial"/>
          <w:color w:val="000000"/>
          <w:lang w:val="en-GB" w:eastAsia="fr-FR"/>
        </w:rPr>
        <w:t>ing</w:t>
      </w:r>
      <w:r w:rsidRPr="00940D33">
        <w:rPr>
          <w:rFonts w:ascii="Arial Narrow" w:eastAsia="Times New Roman" w:hAnsi="Arial Narrow" w:cs="Arial"/>
          <w:color w:val="000000"/>
          <w:lang w:val="en-GB" w:eastAsia="fr-FR"/>
        </w:rPr>
        <w:t>, it is considered necessary to cross check whether the MRN concept is implemented in each product specification seeking operational status.</w:t>
      </w:r>
    </w:p>
    <w:p w14:paraId="2ED8A9BA" w14:textId="3DD986C1" w:rsidR="00DF6D9F" w:rsidRPr="00940D33" w:rsidRDefault="00DF6D9F" w:rsidP="00DF6D9F">
      <w:pPr>
        <w:rPr>
          <w:rFonts w:ascii="Arial Narrow" w:hAnsi="Arial Narrow"/>
          <w:b/>
          <w:lang w:val="en-GB"/>
        </w:rPr>
      </w:pPr>
      <w:r w:rsidRPr="00940D33">
        <w:rPr>
          <w:rFonts w:ascii="Arial Narrow" w:hAnsi="Arial Narrow"/>
          <w:b/>
          <w:lang w:val="en-GB"/>
        </w:rPr>
        <w:t>Analyses/Discussion</w:t>
      </w:r>
    </w:p>
    <w:p w14:paraId="4EF5FB83" w14:textId="492C79B9" w:rsidR="001917D7" w:rsidRPr="00940D33" w:rsidRDefault="003809AA" w:rsidP="001917D7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The Member State approval of S-100 Edition</w:t>
      </w:r>
      <w:r w:rsidR="0009653A">
        <w:rPr>
          <w:rFonts w:ascii="Arial Narrow" w:hAnsi="Arial Narrow"/>
          <w:lang w:val="en-GB"/>
        </w:rPr>
        <w:t> </w:t>
      </w:r>
      <w:r w:rsidRPr="00940D33">
        <w:rPr>
          <w:rFonts w:ascii="Arial Narrow" w:hAnsi="Arial Narrow"/>
          <w:lang w:val="en-GB"/>
        </w:rPr>
        <w:t xml:space="preserve">5 last year opens the opportunity to upgrade S-100 compliant product specifications. </w:t>
      </w:r>
    </w:p>
    <w:p w14:paraId="392C43FA" w14:textId="773BAAA0" w:rsidR="00676D7F" w:rsidRPr="00940D33" w:rsidRDefault="003809AA" w:rsidP="0009653A">
      <w:pPr>
        <w:pStyle w:val="Kommentartext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The S-100 ECDIS concept intends interoperability between various products</w:t>
      </w:r>
      <w:r w:rsidR="0009653A">
        <w:rPr>
          <w:rFonts w:ascii="Arial Narrow" w:hAnsi="Arial Narrow"/>
          <w:lang w:val="en-GB"/>
        </w:rPr>
        <w:t xml:space="preserve">.  </w:t>
      </w:r>
      <w:r w:rsidR="0009653A" w:rsidRPr="0009653A">
        <w:rPr>
          <w:rFonts w:ascii="Arial Narrow" w:hAnsi="Arial Narrow"/>
          <w:lang w:val="en-GB"/>
        </w:rPr>
        <w:t>To enable interoperability, the ECDIS software requires a mechanism to identify identical features from each used S-100 product.</w:t>
      </w:r>
      <w:r w:rsidR="0009653A">
        <w:rPr>
          <w:rFonts w:ascii="Arial Narrow" w:hAnsi="Arial Narrow"/>
          <w:lang w:val="en-GB"/>
        </w:rPr>
        <w:t xml:space="preserve">  </w:t>
      </w:r>
      <w:r w:rsidRPr="00940D33">
        <w:rPr>
          <w:rFonts w:ascii="Arial Narrow" w:hAnsi="Arial Narrow"/>
          <w:lang w:val="en-GB"/>
        </w:rPr>
        <w:t>Therefore, S-100 Edition 5 impl</w:t>
      </w:r>
      <w:r w:rsidR="00676D7F" w:rsidRPr="00940D33">
        <w:rPr>
          <w:rFonts w:ascii="Arial Narrow" w:hAnsi="Arial Narrow"/>
          <w:lang w:val="en-GB"/>
        </w:rPr>
        <w:t>emented the MRN concept.</w:t>
      </w:r>
    </w:p>
    <w:p w14:paraId="777FF2B1" w14:textId="3CBEFE87" w:rsidR="00676D7F" w:rsidRPr="00940D33" w:rsidRDefault="00676D7F" w:rsidP="001917D7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 xml:space="preserve">Employing MRN ensures further that information in ECDIS could be tailored according to the ship’s condition. </w:t>
      </w:r>
    </w:p>
    <w:p w14:paraId="54B73C4E" w14:textId="0622EDAD" w:rsidR="003809AA" w:rsidRPr="00940D33" w:rsidRDefault="003809AA" w:rsidP="001917D7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BSH crosschecked various S-100 compliant product specifications and detected that this concept is currently not reflected</w:t>
      </w:r>
      <w:r w:rsidR="00676D7F" w:rsidRPr="00940D33">
        <w:rPr>
          <w:rFonts w:ascii="Arial Narrow" w:hAnsi="Arial Narrow"/>
          <w:lang w:val="en-GB"/>
        </w:rPr>
        <w:t>.</w:t>
      </w:r>
    </w:p>
    <w:p w14:paraId="42133ABF" w14:textId="77777777" w:rsidR="00676D7F" w:rsidRPr="00940D33" w:rsidRDefault="00676D7F">
      <w:pPr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br w:type="page"/>
      </w:r>
    </w:p>
    <w:p w14:paraId="7D69D0A0" w14:textId="456ADFEE" w:rsidR="003809AA" w:rsidRPr="00940D33" w:rsidRDefault="00697D3A" w:rsidP="001917D7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lastRenderedPageBreak/>
        <w:t>The f</w:t>
      </w:r>
      <w:r w:rsidR="00676D7F" w:rsidRPr="00940D33">
        <w:rPr>
          <w:rFonts w:ascii="Arial Narrow" w:hAnsi="Arial Narrow"/>
          <w:lang w:val="en-GB"/>
        </w:rPr>
        <w:t>ollowing example</w:t>
      </w:r>
      <w:r w:rsidR="002A1BBA" w:rsidRPr="00940D33">
        <w:rPr>
          <w:rFonts w:ascii="Arial Narrow" w:hAnsi="Arial Narrow"/>
          <w:lang w:val="en-GB"/>
        </w:rPr>
        <w:t xml:space="preserve"> underlines the importance of implementing MRN in various product specifi</w:t>
      </w:r>
      <w:r w:rsidR="001963B9" w:rsidRPr="00940D33">
        <w:rPr>
          <w:rFonts w:ascii="Arial Narrow" w:hAnsi="Arial Narrow"/>
          <w:lang w:val="en-GB"/>
        </w:rPr>
        <w:t>ca</w:t>
      </w:r>
      <w:r w:rsidR="002A1BBA" w:rsidRPr="00940D33">
        <w:rPr>
          <w:rFonts w:ascii="Arial Narrow" w:hAnsi="Arial Narrow"/>
          <w:lang w:val="en-GB"/>
        </w:rPr>
        <w:t>tions</w:t>
      </w:r>
      <w:r w:rsidR="00676D7F" w:rsidRPr="00940D33">
        <w:rPr>
          <w:rFonts w:ascii="Arial Narrow" w:hAnsi="Arial Narrow"/>
          <w:lang w:val="en-GB"/>
        </w:rPr>
        <w:t>:</w:t>
      </w:r>
    </w:p>
    <w:p w14:paraId="540EEBD3" w14:textId="03931D83" w:rsidR="00676D7F" w:rsidRPr="00940D33" w:rsidRDefault="00676D7F" w:rsidP="001917D7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 xml:space="preserve">The features </w:t>
      </w:r>
      <w:proofErr w:type="spellStart"/>
      <w:r w:rsidRPr="00940D33">
        <w:rPr>
          <w:rFonts w:ascii="Arial Narrow" w:hAnsi="Arial Narrow"/>
          <w:b/>
          <w:lang w:val="en-GB"/>
        </w:rPr>
        <w:t>RestrictedAreaRegulatory</w:t>
      </w:r>
      <w:proofErr w:type="spellEnd"/>
      <w:r w:rsidRPr="00940D33">
        <w:rPr>
          <w:rFonts w:ascii="Arial Narrow" w:hAnsi="Arial Narrow"/>
          <w:lang w:val="en-GB"/>
        </w:rPr>
        <w:t xml:space="preserve"> and </w:t>
      </w:r>
      <w:proofErr w:type="spellStart"/>
      <w:r w:rsidRPr="00940D33">
        <w:rPr>
          <w:rFonts w:ascii="Arial Narrow" w:hAnsi="Arial Narrow"/>
          <w:b/>
          <w:lang w:val="en-GB"/>
        </w:rPr>
        <w:t>RestrictedAreaNavigational</w:t>
      </w:r>
      <w:proofErr w:type="spellEnd"/>
      <w:r w:rsidRPr="00940D33">
        <w:rPr>
          <w:rFonts w:ascii="Arial Narrow" w:hAnsi="Arial Narrow"/>
          <w:lang w:val="en-GB"/>
        </w:rPr>
        <w:t xml:space="preserve"> are part of both S-101 (ENC) and S-122 (Marine Protected Areas).  </w:t>
      </w:r>
      <w:r w:rsidR="00A503F7">
        <w:rPr>
          <w:rFonts w:ascii="Arial Narrow" w:hAnsi="Arial Narrow"/>
          <w:lang w:val="en-GB"/>
        </w:rPr>
        <w:t xml:space="preserve">The UML </w:t>
      </w:r>
      <w:proofErr w:type="spellStart"/>
      <w:r w:rsidR="00A503F7">
        <w:rPr>
          <w:rFonts w:ascii="Arial Narrow" w:hAnsi="Arial Narrow"/>
          <w:lang w:val="en-GB"/>
        </w:rPr>
        <w:t>diagramns</w:t>
      </w:r>
      <w:proofErr w:type="spellEnd"/>
      <w:r w:rsidR="00A503F7">
        <w:rPr>
          <w:rFonts w:ascii="Arial Narrow" w:hAnsi="Arial Narrow"/>
          <w:lang w:val="en-GB"/>
        </w:rPr>
        <w:t xml:space="preserve"> below show that b</w:t>
      </w:r>
      <w:r w:rsidRPr="00940D33">
        <w:rPr>
          <w:rFonts w:ascii="Arial Narrow" w:hAnsi="Arial Narrow"/>
          <w:lang w:val="en-GB"/>
        </w:rPr>
        <w:t xml:space="preserve">oth S-122 features have a reference to the information feature type </w:t>
      </w:r>
      <w:r w:rsidRPr="00940D33">
        <w:rPr>
          <w:rFonts w:ascii="Arial Narrow" w:hAnsi="Arial Narrow"/>
          <w:b/>
          <w:lang w:val="en-GB"/>
        </w:rPr>
        <w:t>Applicability</w:t>
      </w:r>
      <w:r w:rsidRPr="00940D33">
        <w:rPr>
          <w:rFonts w:ascii="Arial Narrow" w:hAnsi="Arial Narrow"/>
          <w:lang w:val="en-GB"/>
        </w:rPr>
        <w:t>.</w:t>
      </w:r>
    </w:p>
    <w:p w14:paraId="6A66E58F" w14:textId="504EF704" w:rsidR="001917D7" w:rsidRPr="00940D33" w:rsidRDefault="001917D7" w:rsidP="001917D7">
      <w:pPr>
        <w:rPr>
          <w:lang w:val="en-GB"/>
        </w:rPr>
      </w:pPr>
      <w:r w:rsidRPr="00940D33">
        <w:rPr>
          <w:noProof/>
          <w:lang w:val="de-DE" w:eastAsia="de-DE"/>
        </w:rPr>
        <w:drawing>
          <wp:inline distT="0" distB="0" distL="0" distR="0" wp14:anchorId="45BAAD03" wp14:editId="258C1EBD">
            <wp:extent cx="6319653" cy="3090862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435" cy="30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31D1" w14:textId="27625994" w:rsidR="00676D7F" w:rsidRPr="0009653A" w:rsidRDefault="00676D7F" w:rsidP="001917D7">
      <w:pPr>
        <w:rPr>
          <w:rFonts w:ascii="Arial Narrow" w:hAnsi="Arial Narrow"/>
          <w:lang w:val="en-GB"/>
        </w:rPr>
      </w:pPr>
      <w:r w:rsidRPr="0009653A">
        <w:rPr>
          <w:rFonts w:ascii="Arial Narrow" w:hAnsi="Arial Narrow"/>
          <w:lang w:val="en-GB"/>
        </w:rPr>
        <w:t xml:space="preserve">Fig 1: </w:t>
      </w:r>
      <w:r w:rsidR="007E13F6" w:rsidRPr="0009653A">
        <w:rPr>
          <w:rFonts w:ascii="Arial Narrow" w:hAnsi="Arial Narrow"/>
          <w:lang w:val="en-GB"/>
        </w:rPr>
        <w:t>S-122 Feature types</w:t>
      </w:r>
    </w:p>
    <w:p w14:paraId="6B4B604F" w14:textId="77777777" w:rsidR="001917D7" w:rsidRPr="00940D33" w:rsidRDefault="001917D7" w:rsidP="001917D7">
      <w:pPr>
        <w:rPr>
          <w:lang w:val="en-GB"/>
        </w:rPr>
      </w:pPr>
      <w:r w:rsidRPr="00940D33">
        <w:rPr>
          <w:noProof/>
          <w:lang w:val="de-DE" w:eastAsia="de-DE"/>
        </w:rPr>
        <w:drawing>
          <wp:inline distT="0" distB="0" distL="0" distR="0" wp14:anchorId="0B83F98D" wp14:editId="6109553C">
            <wp:extent cx="5385745" cy="3693795"/>
            <wp:effectExtent l="0" t="0" r="571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021" cy="370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CC4F" w14:textId="041D097D" w:rsidR="001917D7" w:rsidRPr="00940D33" w:rsidRDefault="00676D7F" w:rsidP="001917D7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Fig 2: Relation between S-122 feature types and Applicability</w:t>
      </w:r>
    </w:p>
    <w:p w14:paraId="44906C65" w14:textId="77777777" w:rsidR="000579D5" w:rsidRDefault="000579D5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18276FAE" w14:textId="6F281C4C" w:rsidR="001917D7" w:rsidRPr="00940D33" w:rsidRDefault="00A503F7" w:rsidP="001917D7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lastRenderedPageBreak/>
        <w:t xml:space="preserve">The extracted data model of the S-101 features </w:t>
      </w:r>
      <w:proofErr w:type="spellStart"/>
      <w:r w:rsidRPr="00940D33">
        <w:rPr>
          <w:rFonts w:ascii="Arial Narrow" w:hAnsi="Arial Narrow"/>
          <w:b/>
          <w:lang w:val="en-GB"/>
        </w:rPr>
        <w:t>RestrictedAreaNavigational</w:t>
      </w:r>
      <w:proofErr w:type="spellEnd"/>
      <w:r w:rsidRPr="00940D33">
        <w:rPr>
          <w:rFonts w:ascii="Arial Narrow" w:hAnsi="Arial Narrow"/>
          <w:lang w:val="en-GB"/>
        </w:rPr>
        <w:t xml:space="preserve"> and </w:t>
      </w:r>
      <w:proofErr w:type="spellStart"/>
      <w:r w:rsidRPr="00940D33">
        <w:rPr>
          <w:rFonts w:ascii="Arial Narrow" w:hAnsi="Arial Narrow"/>
          <w:b/>
          <w:lang w:val="en-GB"/>
        </w:rPr>
        <w:t>RestrictedAreaRegulatory</w:t>
      </w:r>
      <w:proofErr w:type="spellEnd"/>
      <w:r w:rsidRPr="00940D33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is provided in the table below.  </w:t>
      </w:r>
      <w:r w:rsidR="002A1BBA" w:rsidRPr="00940D33">
        <w:rPr>
          <w:rFonts w:ascii="Arial Narrow" w:hAnsi="Arial Narrow"/>
          <w:lang w:val="en-GB"/>
        </w:rPr>
        <w:t xml:space="preserve">Information </w:t>
      </w:r>
      <w:r>
        <w:rPr>
          <w:rFonts w:ascii="Arial Narrow" w:hAnsi="Arial Narrow"/>
          <w:lang w:val="en-GB"/>
        </w:rPr>
        <w:t>on a</w:t>
      </w:r>
      <w:r w:rsidRPr="00A503F7">
        <w:rPr>
          <w:rFonts w:ascii="Arial Narrow" w:hAnsi="Arial Narrow"/>
          <w:lang w:val="en-GB"/>
        </w:rPr>
        <w:t>pplicability</w:t>
      </w:r>
      <w:r>
        <w:rPr>
          <w:rFonts w:ascii="Arial Narrow" w:hAnsi="Arial Narrow"/>
          <w:lang w:val="en-GB"/>
        </w:rPr>
        <w:t xml:space="preserve"> </w:t>
      </w:r>
      <w:r w:rsidR="002A1BBA" w:rsidRPr="00940D33">
        <w:rPr>
          <w:rFonts w:ascii="Arial Narrow" w:hAnsi="Arial Narrow"/>
          <w:lang w:val="en-GB"/>
        </w:rPr>
        <w:t xml:space="preserve">can </w:t>
      </w:r>
      <w:r>
        <w:rPr>
          <w:rFonts w:ascii="Arial Narrow" w:hAnsi="Arial Narrow"/>
          <w:lang w:val="en-GB"/>
        </w:rPr>
        <w:t xml:space="preserve">only </w:t>
      </w:r>
      <w:r w:rsidR="002A1BBA" w:rsidRPr="00940D33">
        <w:rPr>
          <w:rFonts w:ascii="Arial Narrow" w:hAnsi="Arial Narrow"/>
          <w:lang w:val="en-GB"/>
        </w:rPr>
        <w:t xml:space="preserve">be provided in S-101 using the string attribute </w:t>
      </w:r>
      <w:r w:rsidR="007E13F6" w:rsidRPr="00940D33">
        <w:rPr>
          <w:rFonts w:ascii="Arial Narrow" w:hAnsi="Arial Narrow"/>
          <w:b/>
          <w:lang w:val="en-GB"/>
        </w:rPr>
        <w:t>information</w:t>
      </w:r>
      <w:r w:rsidR="007E13F6" w:rsidRPr="00940D33">
        <w:rPr>
          <w:rFonts w:ascii="Arial Narrow" w:hAnsi="Arial Narrow"/>
          <w:lang w:val="en-GB"/>
        </w:rPr>
        <w:t xml:space="preserve"> which can provide text or a reference to an external file.</w:t>
      </w:r>
    </w:p>
    <w:p w14:paraId="323498A2" w14:textId="4E4BB472" w:rsidR="00676D7F" w:rsidRPr="00940D33" w:rsidRDefault="0091417B" w:rsidP="001917D7">
      <w:pPr>
        <w:jc w:val="both"/>
        <w:rPr>
          <w:rFonts w:ascii="Arial Narrow" w:hAnsi="Arial Narrow"/>
          <w:lang w:val="en-GB"/>
        </w:rPr>
      </w:pPr>
      <w:r w:rsidRPr="00940D33">
        <w:rPr>
          <w:noProof/>
          <w:lang w:val="de-DE" w:eastAsia="de-DE"/>
        </w:rPr>
        <w:drawing>
          <wp:inline distT="0" distB="0" distL="0" distR="0" wp14:anchorId="495665FC" wp14:editId="1293616C">
            <wp:extent cx="5286375" cy="69246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B1906" w14:textId="1343BFB4" w:rsidR="0091417B" w:rsidRPr="00940D33" w:rsidRDefault="0091417B" w:rsidP="0091417B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Fig 3</w:t>
      </w:r>
      <w:r w:rsidR="002C69FB">
        <w:rPr>
          <w:rFonts w:ascii="Arial Narrow" w:hAnsi="Arial Narrow"/>
          <w:lang w:val="en-GB"/>
        </w:rPr>
        <w:t>:</w:t>
      </w:r>
      <w:r w:rsidRPr="00940D33">
        <w:rPr>
          <w:rFonts w:ascii="Arial Narrow" w:hAnsi="Arial Narrow"/>
          <w:lang w:val="en-GB"/>
        </w:rPr>
        <w:t xml:space="preserve"> Extract S-101 DCEG Edition 1.1.0, p. 398 – 403</w:t>
      </w:r>
    </w:p>
    <w:p w14:paraId="748E085D" w14:textId="19BE2DF5" w:rsidR="0091417B" w:rsidRPr="00940D33" w:rsidRDefault="0091417B" w:rsidP="0091417B">
      <w:pPr>
        <w:jc w:val="both"/>
        <w:rPr>
          <w:rFonts w:ascii="Arial Narrow" w:hAnsi="Arial Narrow"/>
          <w:lang w:val="en-GB"/>
        </w:rPr>
      </w:pPr>
    </w:p>
    <w:p w14:paraId="2FF5D77D" w14:textId="22932C5E" w:rsidR="0091417B" w:rsidRPr="00940D33" w:rsidRDefault="00584BE1" w:rsidP="0091417B">
      <w:pPr>
        <w:jc w:val="both"/>
        <w:rPr>
          <w:rFonts w:ascii="Arial Narrow" w:hAnsi="Arial Narrow"/>
          <w:b/>
          <w:lang w:val="en-GB"/>
        </w:rPr>
      </w:pPr>
      <w:r w:rsidRPr="00940D33">
        <w:rPr>
          <w:rFonts w:ascii="Arial Narrow" w:hAnsi="Arial Narrow"/>
          <w:lang w:val="en-GB"/>
        </w:rPr>
        <w:t>The Feature/Info</w:t>
      </w:r>
      <w:r w:rsidR="001963B9" w:rsidRPr="00940D33">
        <w:rPr>
          <w:rFonts w:ascii="Arial Narrow" w:hAnsi="Arial Narrow"/>
          <w:lang w:val="en-GB"/>
        </w:rPr>
        <w:t>rmation</w:t>
      </w:r>
      <w:r w:rsidRPr="00940D33">
        <w:rPr>
          <w:rFonts w:ascii="Arial Narrow" w:hAnsi="Arial Narrow"/>
          <w:lang w:val="en-GB"/>
        </w:rPr>
        <w:t xml:space="preserve"> is associated to </w:t>
      </w:r>
      <w:proofErr w:type="spellStart"/>
      <w:r w:rsidR="0009653A">
        <w:rPr>
          <w:rFonts w:ascii="Arial Narrow" w:hAnsi="Arial Narrow"/>
          <w:b/>
          <w:lang w:val="en-GB"/>
        </w:rPr>
        <w:t>Additonal</w:t>
      </w:r>
      <w:r w:rsidRPr="00940D33">
        <w:rPr>
          <w:rFonts w:ascii="Arial Narrow" w:hAnsi="Arial Narrow"/>
          <w:b/>
          <w:lang w:val="en-GB"/>
        </w:rPr>
        <w:t>Information</w:t>
      </w:r>
      <w:proofErr w:type="spellEnd"/>
      <w:r w:rsidRPr="00940D33">
        <w:rPr>
          <w:rFonts w:ascii="Arial Narrow" w:hAnsi="Arial Narrow"/>
          <w:b/>
          <w:lang w:val="en-GB"/>
        </w:rPr>
        <w:t>,</w:t>
      </w:r>
      <w:r w:rsidRPr="00940D33">
        <w:rPr>
          <w:rFonts w:ascii="Arial Narrow" w:hAnsi="Arial Narrow"/>
          <w:lang w:val="en-GB"/>
        </w:rPr>
        <w:t xml:space="preserve"> which provides an identical information structure as shown in Fig 3 for </w:t>
      </w:r>
      <w:proofErr w:type="spellStart"/>
      <w:r w:rsidRPr="00940D33">
        <w:rPr>
          <w:rFonts w:ascii="Arial Narrow" w:hAnsi="Arial Narrow"/>
          <w:b/>
          <w:lang w:val="en-GB"/>
        </w:rPr>
        <w:t>RestrictedAreaNavi</w:t>
      </w:r>
      <w:r w:rsidR="001963B9" w:rsidRPr="00940D33">
        <w:rPr>
          <w:rFonts w:ascii="Arial Narrow" w:hAnsi="Arial Narrow"/>
          <w:b/>
          <w:lang w:val="en-GB"/>
        </w:rPr>
        <w:t>ga</w:t>
      </w:r>
      <w:r w:rsidRPr="00940D33">
        <w:rPr>
          <w:rFonts w:ascii="Arial Narrow" w:hAnsi="Arial Narrow"/>
          <w:b/>
          <w:lang w:val="en-GB"/>
        </w:rPr>
        <w:t>tional</w:t>
      </w:r>
      <w:proofErr w:type="spellEnd"/>
      <w:r w:rsidRPr="00940D33">
        <w:rPr>
          <w:rFonts w:ascii="Arial Narrow" w:hAnsi="Arial Narrow"/>
          <w:lang w:val="en-GB"/>
        </w:rPr>
        <w:t xml:space="preserve"> and </w:t>
      </w:r>
      <w:proofErr w:type="spellStart"/>
      <w:r w:rsidRPr="00940D33">
        <w:rPr>
          <w:rFonts w:ascii="Arial Narrow" w:hAnsi="Arial Narrow"/>
          <w:b/>
          <w:lang w:val="en-GB"/>
        </w:rPr>
        <w:t>RestrictedAreaRegulatory</w:t>
      </w:r>
      <w:proofErr w:type="spellEnd"/>
      <w:r w:rsidRPr="00940D33">
        <w:rPr>
          <w:rFonts w:ascii="Arial Narrow" w:hAnsi="Arial Narrow"/>
          <w:b/>
          <w:lang w:val="en-GB"/>
        </w:rPr>
        <w:t xml:space="preserve">. </w:t>
      </w:r>
    </w:p>
    <w:p w14:paraId="1767EA82" w14:textId="0B16ADEE" w:rsidR="00584BE1" w:rsidRPr="00940D33" w:rsidRDefault="00584BE1">
      <w:pPr>
        <w:rPr>
          <w:rFonts w:ascii="Arial Narrow" w:hAnsi="Arial Narrow"/>
          <w:b/>
          <w:lang w:val="en-GB"/>
        </w:rPr>
      </w:pPr>
      <w:r w:rsidRPr="00940D33">
        <w:rPr>
          <w:rFonts w:ascii="Arial Narrow" w:hAnsi="Arial Narrow"/>
          <w:b/>
          <w:lang w:val="en-GB"/>
        </w:rPr>
        <w:br w:type="page"/>
      </w:r>
    </w:p>
    <w:p w14:paraId="61C71AC1" w14:textId="1BF9D4C9" w:rsidR="00584BE1" w:rsidRPr="00940D33" w:rsidRDefault="001963B9" w:rsidP="0091417B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lastRenderedPageBreak/>
        <w:t>A common feature MRN for both the feature</w:t>
      </w:r>
      <w:r w:rsidR="00792103" w:rsidRPr="00940D33">
        <w:rPr>
          <w:rFonts w:ascii="Arial Narrow" w:hAnsi="Arial Narrow"/>
          <w:lang w:val="en-GB"/>
        </w:rPr>
        <w:t>s</w:t>
      </w:r>
      <w:r w:rsidRPr="00940D33">
        <w:rPr>
          <w:rFonts w:ascii="Arial Narrow" w:hAnsi="Arial Narrow"/>
          <w:lang w:val="en-GB"/>
        </w:rPr>
        <w:t xml:space="preserve"> in S-122 and S-101 would ensure that S-100 compliant ECDIS can link these two instances and could potentially provide tailor-made information accor</w:t>
      </w:r>
      <w:r w:rsidR="00792103" w:rsidRPr="00940D33">
        <w:rPr>
          <w:rFonts w:ascii="Arial Narrow" w:hAnsi="Arial Narrow"/>
          <w:lang w:val="en-GB"/>
        </w:rPr>
        <w:t>d</w:t>
      </w:r>
      <w:r w:rsidRPr="00940D33">
        <w:rPr>
          <w:rFonts w:ascii="Arial Narrow" w:hAnsi="Arial Narrow"/>
          <w:lang w:val="en-GB"/>
        </w:rPr>
        <w:t>ing to the ship’s characteristics.  Although feature migration would unveil the full interop</w:t>
      </w:r>
      <w:r w:rsidR="00792103" w:rsidRPr="00940D33">
        <w:rPr>
          <w:rFonts w:ascii="Arial Narrow" w:hAnsi="Arial Narrow"/>
          <w:lang w:val="en-GB"/>
        </w:rPr>
        <w:t>e</w:t>
      </w:r>
      <w:r w:rsidRPr="00940D33">
        <w:rPr>
          <w:rFonts w:ascii="Arial Narrow" w:hAnsi="Arial Narrow"/>
          <w:lang w:val="en-GB"/>
        </w:rPr>
        <w:t>rability potential of S-100 complian</w:t>
      </w:r>
      <w:r w:rsidR="00792103" w:rsidRPr="00940D33">
        <w:rPr>
          <w:rFonts w:ascii="Arial Narrow" w:hAnsi="Arial Narrow"/>
          <w:lang w:val="en-GB"/>
        </w:rPr>
        <w:t>t EC</w:t>
      </w:r>
      <w:r w:rsidRPr="00940D33">
        <w:rPr>
          <w:rFonts w:ascii="Arial Narrow" w:hAnsi="Arial Narrow"/>
          <w:lang w:val="en-GB"/>
        </w:rPr>
        <w:t>D</w:t>
      </w:r>
      <w:r w:rsidR="00792103" w:rsidRPr="00940D33">
        <w:rPr>
          <w:rFonts w:ascii="Arial Narrow" w:hAnsi="Arial Narrow"/>
          <w:lang w:val="en-GB"/>
        </w:rPr>
        <w:t>I</w:t>
      </w:r>
      <w:r w:rsidRPr="00940D33">
        <w:rPr>
          <w:rFonts w:ascii="Arial Narrow" w:hAnsi="Arial Narrow"/>
          <w:lang w:val="en-GB"/>
        </w:rPr>
        <w:t xml:space="preserve">S, the full S-98 compliant </w:t>
      </w:r>
      <w:r w:rsidR="00792103" w:rsidRPr="00940D33">
        <w:rPr>
          <w:rFonts w:ascii="Arial Narrow" w:hAnsi="Arial Narrow"/>
          <w:lang w:val="en-GB"/>
        </w:rPr>
        <w:t>feature</w:t>
      </w:r>
      <w:r w:rsidRPr="00940D33">
        <w:rPr>
          <w:rFonts w:ascii="Arial Narrow" w:hAnsi="Arial Narrow"/>
          <w:lang w:val="en-GB"/>
        </w:rPr>
        <w:t xml:space="preserve"> migration would be not necessary at this stage. </w:t>
      </w:r>
    </w:p>
    <w:p w14:paraId="3E29A73D" w14:textId="76617728" w:rsidR="00792103" w:rsidRPr="00940D33" w:rsidRDefault="00792103" w:rsidP="0091417B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 xml:space="preserve">Although S-100 is stating that an MRN should not be assigned to each individual feature, we strongly recommend to do so.  That prepares the products for future interoperability possibilities. </w:t>
      </w:r>
      <w:r w:rsidR="00697D3A">
        <w:rPr>
          <w:rFonts w:ascii="Arial Narrow" w:hAnsi="Arial Narrow"/>
          <w:lang w:val="en-GB"/>
        </w:rPr>
        <w:t>F</w:t>
      </w:r>
      <w:r w:rsidRPr="00940D33">
        <w:rPr>
          <w:rFonts w:ascii="Arial Narrow" w:hAnsi="Arial Narrow"/>
          <w:lang w:val="en-GB"/>
        </w:rPr>
        <w:t>rom our point of view</w:t>
      </w:r>
      <w:r w:rsidR="00697D3A">
        <w:rPr>
          <w:rFonts w:ascii="Arial Narrow" w:hAnsi="Arial Narrow"/>
          <w:lang w:val="en-GB"/>
        </w:rPr>
        <w:t>, it is</w:t>
      </w:r>
      <w:r w:rsidRPr="00940D33">
        <w:rPr>
          <w:rFonts w:ascii="Arial Narrow" w:hAnsi="Arial Narrow"/>
          <w:lang w:val="en-GB"/>
        </w:rPr>
        <w:t xml:space="preserve"> better to have this in place as early as possible instead of trying to implement it at a later stage when products are in operational use. </w:t>
      </w:r>
    </w:p>
    <w:p w14:paraId="28B8C0BD" w14:textId="579265F5" w:rsidR="00DF6D9F" w:rsidRPr="00940D33" w:rsidRDefault="00DF6D9F" w:rsidP="00DF6D9F">
      <w:pPr>
        <w:rPr>
          <w:rFonts w:ascii="Arial Narrow" w:hAnsi="Arial Narrow"/>
          <w:b/>
          <w:lang w:val="en-GB"/>
        </w:rPr>
      </w:pPr>
      <w:r w:rsidRPr="00940D33">
        <w:rPr>
          <w:rFonts w:ascii="Arial Narrow" w:hAnsi="Arial Narrow"/>
          <w:b/>
          <w:lang w:val="en-GB"/>
        </w:rPr>
        <w:t xml:space="preserve">Conclusion </w:t>
      </w:r>
    </w:p>
    <w:p w14:paraId="2727999D" w14:textId="38FF88AF" w:rsidR="00C7195A" w:rsidRPr="00940D33" w:rsidRDefault="00792103" w:rsidP="00C7195A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 xml:space="preserve">The implementation of MRN in various S-100 complaint product specifications is essential to unveil the full interoperability function </w:t>
      </w:r>
      <w:r w:rsidR="00C0149D" w:rsidRPr="00940D33">
        <w:rPr>
          <w:rFonts w:ascii="Arial Narrow" w:hAnsi="Arial Narrow"/>
          <w:lang w:val="en-GB"/>
        </w:rPr>
        <w:t>of fu</w:t>
      </w:r>
      <w:r w:rsidRPr="00940D33">
        <w:rPr>
          <w:rFonts w:ascii="Arial Narrow" w:hAnsi="Arial Narrow"/>
          <w:lang w:val="en-GB"/>
        </w:rPr>
        <w:t xml:space="preserve">ture ECDIS. </w:t>
      </w:r>
      <w:r w:rsidR="00C0149D" w:rsidRPr="00940D33">
        <w:rPr>
          <w:rFonts w:ascii="Arial Narrow" w:hAnsi="Arial Narrow"/>
          <w:lang w:val="en-GB"/>
        </w:rPr>
        <w:t xml:space="preserve"> It supports the interoperable multilayer data management concept.</w:t>
      </w:r>
    </w:p>
    <w:p w14:paraId="727D6C46" w14:textId="52AADA67" w:rsidR="001917D7" w:rsidRPr="00940D33" w:rsidRDefault="00C0149D" w:rsidP="00C7195A">
      <w:p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According to the latest HSSC statements, relevant product specifications should be upgraded to be S-100 Edition 5 compliant.  The MRN concept is sufficiently described in S-100 Edition 5 and is ready for implementation in S-100 compliant product specifications.</w:t>
      </w:r>
    </w:p>
    <w:p w14:paraId="1F00CC06" w14:textId="77777777" w:rsidR="00C7195A" w:rsidRPr="00940D33" w:rsidRDefault="00C7195A" w:rsidP="00C7195A">
      <w:pPr>
        <w:rPr>
          <w:rFonts w:ascii="Arial Narrow" w:hAnsi="Arial Narrow"/>
          <w:b/>
          <w:lang w:val="en-GB"/>
        </w:rPr>
      </w:pPr>
      <w:r w:rsidRPr="00940D33">
        <w:rPr>
          <w:rFonts w:ascii="Arial Narrow" w:hAnsi="Arial Narrow"/>
          <w:b/>
          <w:lang w:val="en-GB"/>
        </w:rPr>
        <w:t>Recommendation</w:t>
      </w:r>
    </w:p>
    <w:p w14:paraId="3F3FF258" w14:textId="7AD7910E" w:rsidR="001917D7" w:rsidRPr="00940D33" w:rsidRDefault="00C0149D" w:rsidP="00C7195A">
      <w:pPr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The usage of MRN should be implemented in S-100 product specification seeking S-100 Edition 5 compliance.</w:t>
      </w:r>
    </w:p>
    <w:p w14:paraId="38F17A5F" w14:textId="79189603" w:rsidR="00C7195A" w:rsidRPr="00940D33" w:rsidRDefault="00C7195A" w:rsidP="00C7195A">
      <w:pPr>
        <w:rPr>
          <w:rFonts w:ascii="Arial Narrow" w:hAnsi="Arial Narrow"/>
          <w:b/>
          <w:lang w:val="en-GB"/>
        </w:rPr>
      </w:pPr>
      <w:r w:rsidRPr="00940D33">
        <w:rPr>
          <w:rFonts w:ascii="Arial Narrow" w:hAnsi="Arial Narrow"/>
          <w:b/>
          <w:lang w:val="en-GB"/>
        </w:rPr>
        <w:t>Justifications and impacts</w:t>
      </w:r>
    </w:p>
    <w:p w14:paraId="6FBE389A" w14:textId="4AF1D4A1" w:rsidR="001917D7" w:rsidRPr="00940D33" w:rsidRDefault="00940D33" w:rsidP="00DD11AA">
      <w:pPr>
        <w:pStyle w:val="Listenabsatz"/>
        <w:numPr>
          <w:ilvl w:val="0"/>
          <w:numId w:val="16"/>
        </w:num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Product Specifications</w:t>
      </w:r>
    </w:p>
    <w:p w14:paraId="3A76EEE5" w14:textId="4CE97454" w:rsidR="00940D33" w:rsidRPr="00940D33" w:rsidRDefault="00CB5035" w:rsidP="00940D33">
      <w:pPr>
        <w:pStyle w:val="Listenabsatz"/>
        <w:numPr>
          <w:ilvl w:val="1"/>
          <w:numId w:val="16"/>
        </w:num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Upgrading existing product specifications is an ongoing task for all working groups. </w:t>
      </w:r>
      <w:r w:rsidR="00FD4B62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Additional resources are not needed.</w:t>
      </w:r>
    </w:p>
    <w:p w14:paraId="6291E8DF" w14:textId="723232D0" w:rsidR="001917D7" w:rsidRPr="00940D33" w:rsidRDefault="00940D33" w:rsidP="00DD11AA">
      <w:pPr>
        <w:pStyle w:val="Listenabsatz"/>
        <w:numPr>
          <w:ilvl w:val="0"/>
          <w:numId w:val="16"/>
        </w:numPr>
        <w:jc w:val="both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Production Software</w:t>
      </w:r>
    </w:p>
    <w:p w14:paraId="1C553D49" w14:textId="55FE369E" w:rsidR="001917D7" w:rsidRPr="00940D33" w:rsidRDefault="00CB5035" w:rsidP="00940D33">
      <w:pPr>
        <w:pStyle w:val="Listenabsatz"/>
        <w:numPr>
          <w:ilvl w:val="1"/>
          <w:numId w:val="16"/>
        </w:num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Production software provider</w:t>
      </w:r>
      <w:r w:rsidR="00697D3A">
        <w:rPr>
          <w:rFonts w:ascii="Arial Narrow" w:hAnsi="Arial Narrow"/>
          <w:lang w:val="en-GB"/>
        </w:rPr>
        <w:t>s</w:t>
      </w:r>
      <w:r>
        <w:rPr>
          <w:rFonts w:ascii="Arial Narrow" w:hAnsi="Arial Narrow"/>
          <w:lang w:val="en-GB"/>
        </w:rPr>
        <w:t xml:space="preserve"> need to implement MRN in their production systems. </w:t>
      </w:r>
      <w:r w:rsidR="00FD4B62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They should provide functions ensuring that product producers know if an identical feature is located in other products.</w:t>
      </w:r>
      <w:r w:rsidR="00FD4B62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 In this case the similar MRN should be used for both feature instances. </w:t>
      </w:r>
    </w:p>
    <w:p w14:paraId="77A288F2" w14:textId="3765B6D7" w:rsidR="001917D7" w:rsidRPr="00940D33" w:rsidRDefault="001917D7" w:rsidP="00FD4B62">
      <w:pPr>
        <w:jc w:val="both"/>
        <w:rPr>
          <w:rFonts w:ascii="Arial Narrow" w:hAnsi="Arial Narrow"/>
          <w:b/>
          <w:lang w:val="en-GB"/>
        </w:rPr>
      </w:pPr>
      <w:bookmarkStart w:id="0" w:name="_GoBack"/>
      <w:bookmarkEnd w:id="0"/>
      <w:r w:rsidRPr="00940D33">
        <w:rPr>
          <w:rFonts w:ascii="Arial Narrow" w:hAnsi="Arial Narrow"/>
          <w:b/>
          <w:lang w:val="en-GB"/>
        </w:rPr>
        <w:t>Action required of NIPWG:</w:t>
      </w:r>
    </w:p>
    <w:p w14:paraId="4AF8BF9B" w14:textId="0838521E" w:rsidR="001917D7" w:rsidRPr="00940D33" w:rsidRDefault="001917D7" w:rsidP="001917D7">
      <w:pPr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The NIPWG is invited to:</w:t>
      </w:r>
    </w:p>
    <w:p w14:paraId="43DB7606" w14:textId="73E7530C" w:rsidR="001917D7" w:rsidRPr="00940D33" w:rsidRDefault="001917D7" w:rsidP="001917D7">
      <w:pPr>
        <w:pStyle w:val="Listenabsatz"/>
        <w:numPr>
          <w:ilvl w:val="0"/>
          <w:numId w:val="19"/>
        </w:numPr>
        <w:spacing w:after="160" w:line="259" w:lineRule="auto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note and discuss this paper,</w:t>
      </w:r>
    </w:p>
    <w:p w14:paraId="0C69FBCF" w14:textId="7A0ACA7A" w:rsidR="00C0149D" w:rsidRPr="00940D33" w:rsidRDefault="00C0149D" w:rsidP="001917D7">
      <w:pPr>
        <w:pStyle w:val="Listenabsatz"/>
        <w:numPr>
          <w:ilvl w:val="0"/>
          <w:numId w:val="19"/>
        </w:numPr>
        <w:spacing w:after="160" w:line="259" w:lineRule="auto"/>
        <w:rPr>
          <w:rFonts w:ascii="Arial Narrow" w:hAnsi="Arial Narrow"/>
          <w:lang w:val="en-GB"/>
        </w:rPr>
      </w:pPr>
      <w:r w:rsidRPr="00940D33">
        <w:rPr>
          <w:rFonts w:ascii="Arial Narrow" w:hAnsi="Arial Narrow"/>
          <w:lang w:val="en-GB"/>
        </w:rPr>
        <w:t>consider in which NPUB product specifications the MRN implementation is useful</w:t>
      </w:r>
      <w:r w:rsidR="00697D3A">
        <w:rPr>
          <w:rFonts w:ascii="Arial Narrow" w:hAnsi="Arial Narrow"/>
          <w:lang w:val="en-GB"/>
        </w:rPr>
        <w:t>,</w:t>
      </w:r>
    </w:p>
    <w:p w14:paraId="0A30B421" w14:textId="14B2B0EB" w:rsidR="00C0149D" w:rsidRPr="00940D33" w:rsidRDefault="00C0149D" w:rsidP="00C0149D">
      <w:pPr>
        <w:pStyle w:val="Listenabsatz"/>
        <w:numPr>
          <w:ilvl w:val="0"/>
          <w:numId w:val="19"/>
        </w:numPr>
        <w:spacing w:after="160" w:line="259" w:lineRule="auto"/>
        <w:rPr>
          <w:rFonts w:ascii="Arial Narrow" w:hAnsi="Arial Narrow"/>
          <w:lang w:val="en-GB"/>
        </w:rPr>
      </w:pPr>
      <w:proofErr w:type="gramStart"/>
      <w:r w:rsidRPr="00940D33">
        <w:rPr>
          <w:rFonts w:ascii="Arial Narrow" w:hAnsi="Arial Narrow"/>
          <w:lang w:val="en-GB"/>
        </w:rPr>
        <w:t>implement</w:t>
      </w:r>
      <w:proofErr w:type="gramEnd"/>
      <w:r w:rsidRPr="00940D33">
        <w:rPr>
          <w:rFonts w:ascii="Arial Narrow" w:hAnsi="Arial Narrow"/>
          <w:lang w:val="en-GB"/>
        </w:rPr>
        <w:t xml:space="preserve"> the MRN structure for each individual feature</w:t>
      </w:r>
      <w:r w:rsidR="00940D33" w:rsidRPr="00940D33">
        <w:rPr>
          <w:rFonts w:ascii="Arial Narrow" w:hAnsi="Arial Narrow"/>
          <w:lang w:val="en-GB"/>
        </w:rPr>
        <w:t xml:space="preserve"> in the relevant NPUB product specifications </w:t>
      </w:r>
      <w:r w:rsidRPr="00940D33">
        <w:rPr>
          <w:rFonts w:ascii="Arial Narrow" w:hAnsi="Arial Narrow"/>
          <w:lang w:val="en-GB"/>
        </w:rPr>
        <w:t>to ensure the widest possible interoperability with other S-100 products.</w:t>
      </w:r>
    </w:p>
    <w:sectPr w:rsidR="00C0149D" w:rsidRPr="00940D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A4E8" w14:textId="77777777" w:rsidR="00B36588" w:rsidRDefault="00B36588" w:rsidP="009B07D6">
      <w:pPr>
        <w:spacing w:after="0" w:line="240" w:lineRule="auto"/>
      </w:pPr>
      <w:r>
        <w:separator/>
      </w:r>
    </w:p>
  </w:endnote>
  <w:endnote w:type="continuationSeparator" w:id="0">
    <w:p w14:paraId="067CC008" w14:textId="77777777" w:rsidR="00B36588" w:rsidRDefault="00B36588" w:rsidP="009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755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5B496FE" w14:textId="79402EF5" w:rsidR="00B51479" w:rsidRPr="008D7F0E" w:rsidRDefault="00B51479">
        <w:pPr>
          <w:pStyle w:val="Fuzeile"/>
          <w:jc w:val="center"/>
          <w:rPr>
            <w:rFonts w:ascii="Arial Narrow" w:hAnsi="Arial Narrow"/>
          </w:rPr>
        </w:pPr>
        <w:r>
          <w:t>-</w:t>
        </w:r>
        <w:r w:rsidRPr="008D7F0E">
          <w:rPr>
            <w:rFonts w:ascii="Arial Narrow" w:hAnsi="Arial Narrow"/>
          </w:rPr>
          <w:fldChar w:fldCharType="begin"/>
        </w:r>
        <w:r w:rsidRPr="008D7F0E">
          <w:rPr>
            <w:rFonts w:ascii="Arial Narrow" w:hAnsi="Arial Narrow"/>
          </w:rPr>
          <w:instrText>PAGE   \* MERGEFORMAT</w:instrText>
        </w:r>
        <w:r w:rsidRPr="008D7F0E">
          <w:rPr>
            <w:rFonts w:ascii="Arial Narrow" w:hAnsi="Arial Narrow"/>
          </w:rPr>
          <w:fldChar w:fldCharType="separate"/>
        </w:r>
        <w:r w:rsidR="00995635">
          <w:rPr>
            <w:rFonts w:ascii="Arial Narrow" w:hAnsi="Arial Narrow"/>
            <w:noProof/>
          </w:rPr>
          <w:t>3</w:t>
        </w:r>
        <w:r w:rsidRPr="008D7F0E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-</w:t>
        </w:r>
      </w:p>
    </w:sdtContent>
  </w:sdt>
  <w:p w14:paraId="3C115D53" w14:textId="4E57AB16" w:rsidR="00B51479" w:rsidRPr="008D7F0E" w:rsidRDefault="00B51479">
    <w:pPr>
      <w:pStyle w:val="Fuzeile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41D2" w14:textId="77777777" w:rsidR="00B36588" w:rsidRDefault="00B36588" w:rsidP="009B07D6">
      <w:pPr>
        <w:spacing w:after="0" w:line="240" w:lineRule="auto"/>
      </w:pPr>
      <w:r>
        <w:separator/>
      </w:r>
    </w:p>
  </w:footnote>
  <w:footnote w:type="continuationSeparator" w:id="0">
    <w:p w14:paraId="6CDC5EBC" w14:textId="77777777" w:rsidR="00B36588" w:rsidRDefault="00B36588" w:rsidP="009B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8442" w14:textId="3E33194C" w:rsidR="00B51479" w:rsidRPr="0009653A" w:rsidRDefault="00B51479" w:rsidP="008D7F0E">
    <w:pPr>
      <w:pStyle w:val="Default"/>
      <w:rPr>
        <w:rFonts w:ascii="Arial Narrow" w:hAnsi="Arial Narrow"/>
        <w:sz w:val="22"/>
        <w:szCs w:val="22"/>
        <w:lang w:val="en-US"/>
      </w:rPr>
    </w:pPr>
    <w:r w:rsidRPr="0009653A">
      <w:rPr>
        <w:rFonts w:ascii="Arial Narrow" w:hAnsi="Arial Narrow"/>
      </w:rPr>
      <w:ptab w:relativeTo="margin" w:alignment="center" w:leader="none"/>
    </w:r>
    <w:r w:rsidRPr="0009653A">
      <w:rPr>
        <w:rFonts w:ascii="Arial Narrow" w:hAnsi="Arial Narrow"/>
      </w:rPr>
      <w:ptab w:relativeTo="margin" w:alignment="right" w:leader="none"/>
    </w:r>
    <w:r w:rsidR="001917D7" w:rsidRPr="0009653A">
      <w:rPr>
        <w:rFonts w:ascii="Arial Narrow" w:hAnsi="Arial Narrow"/>
        <w:iCs/>
        <w:sz w:val="22"/>
        <w:szCs w:val="22"/>
        <w:lang w:val="en-US"/>
      </w:rPr>
      <w:t>NIPWG 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A5"/>
    <w:multiLevelType w:val="hybridMultilevel"/>
    <w:tmpl w:val="03623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4262"/>
    <w:multiLevelType w:val="hybridMultilevel"/>
    <w:tmpl w:val="E0E2D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9F9"/>
    <w:multiLevelType w:val="hybridMultilevel"/>
    <w:tmpl w:val="2548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E2BFE"/>
    <w:multiLevelType w:val="multilevel"/>
    <w:tmpl w:val="D1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6A583C"/>
    <w:multiLevelType w:val="hybridMultilevel"/>
    <w:tmpl w:val="10ACE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34BA4"/>
    <w:multiLevelType w:val="hybridMultilevel"/>
    <w:tmpl w:val="1706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1DE1"/>
    <w:multiLevelType w:val="hybridMultilevel"/>
    <w:tmpl w:val="DA5A350A"/>
    <w:lvl w:ilvl="0" w:tplc="368884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75F5E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C1174"/>
    <w:multiLevelType w:val="hybridMultilevel"/>
    <w:tmpl w:val="83E0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A2E17"/>
    <w:multiLevelType w:val="hybridMultilevel"/>
    <w:tmpl w:val="BD4ED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1796"/>
    <w:multiLevelType w:val="hybridMultilevel"/>
    <w:tmpl w:val="18EC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28D0"/>
    <w:multiLevelType w:val="hybridMultilevel"/>
    <w:tmpl w:val="14EABED4"/>
    <w:lvl w:ilvl="0" w:tplc="CB04F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96D61"/>
    <w:multiLevelType w:val="hybridMultilevel"/>
    <w:tmpl w:val="CD6C5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604F6"/>
    <w:multiLevelType w:val="hybridMultilevel"/>
    <w:tmpl w:val="DBD64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53B1F"/>
    <w:multiLevelType w:val="hybridMultilevel"/>
    <w:tmpl w:val="A7727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27704"/>
    <w:multiLevelType w:val="hybridMultilevel"/>
    <w:tmpl w:val="2850F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8"/>
  </w:num>
  <w:num w:numId="8">
    <w:abstractNumId w:val="16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0511E"/>
    <w:rsid w:val="000102D5"/>
    <w:rsid w:val="000111A7"/>
    <w:rsid w:val="00016129"/>
    <w:rsid w:val="00026BEB"/>
    <w:rsid w:val="00034C57"/>
    <w:rsid w:val="00053808"/>
    <w:rsid w:val="000547F6"/>
    <w:rsid w:val="000579D5"/>
    <w:rsid w:val="000848B5"/>
    <w:rsid w:val="000905C0"/>
    <w:rsid w:val="000908B1"/>
    <w:rsid w:val="00093B5A"/>
    <w:rsid w:val="0009653A"/>
    <w:rsid w:val="000B6924"/>
    <w:rsid w:val="000B7F53"/>
    <w:rsid w:val="000C6E40"/>
    <w:rsid w:val="000E05DE"/>
    <w:rsid w:val="000E3C25"/>
    <w:rsid w:val="000E694B"/>
    <w:rsid w:val="000F0354"/>
    <w:rsid w:val="000F57AF"/>
    <w:rsid w:val="00103FA8"/>
    <w:rsid w:val="00121A1E"/>
    <w:rsid w:val="00137BF0"/>
    <w:rsid w:val="00156D43"/>
    <w:rsid w:val="00161B2C"/>
    <w:rsid w:val="001777E6"/>
    <w:rsid w:val="001842EC"/>
    <w:rsid w:val="001917D7"/>
    <w:rsid w:val="001963B9"/>
    <w:rsid w:val="001B2970"/>
    <w:rsid w:val="001B599F"/>
    <w:rsid w:val="001C1FE7"/>
    <w:rsid w:val="001C5D69"/>
    <w:rsid w:val="001D3B3C"/>
    <w:rsid w:val="001D7903"/>
    <w:rsid w:val="0021372A"/>
    <w:rsid w:val="0021638C"/>
    <w:rsid w:val="00246DFC"/>
    <w:rsid w:val="002575CC"/>
    <w:rsid w:val="0026198B"/>
    <w:rsid w:val="00277DAE"/>
    <w:rsid w:val="00280A3B"/>
    <w:rsid w:val="00295AAD"/>
    <w:rsid w:val="002A1BBA"/>
    <w:rsid w:val="002C69FB"/>
    <w:rsid w:val="002C708A"/>
    <w:rsid w:val="002D2A63"/>
    <w:rsid w:val="002D4ECB"/>
    <w:rsid w:val="002D70E7"/>
    <w:rsid w:val="002D791E"/>
    <w:rsid w:val="002E192B"/>
    <w:rsid w:val="002F524B"/>
    <w:rsid w:val="003217EC"/>
    <w:rsid w:val="00325E48"/>
    <w:rsid w:val="00334740"/>
    <w:rsid w:val="00337AB4"/>
    <w:rsid w:val="00372093"/>
    <w:rsid w:val="003809AA"/>
    <w:rsid w:val="00392230"/>
    <w:rsid w:val="00394CC7"/>
    <w:rsid w:val="003F2BB7"/>
    <w:rsid w:val="003F6BF1"/>
    <w:rsid w:val="003F722C"/>
    <w:rsid w:val="0040443A"/>
    <w:rsid w:val="00405674"/>
    <w:rsid w:val="004303A4"/>
    <w:rsid w:val="00434B62"/>
    <w:rsid w:val="00442D0D"/>
    <w:rsid w:val="00456C9A"/>
    <w:rsid w:val="0047593E"/>
    <w:rsid w:val="00477069"/>
    <w:rsid w:val="00484785"/>
    <w:rsid w:val="00493075"/>
    <w:rsid w:val="004C33AD"/>
    <w:rsid w:val="00505AB6"/>
    <w:rsid w:val="00523A0A"/>
    <w:rsid w:val="00534C8C"/>
    <w:rsid w:val="00534D4A"/>
    <w:rsid w:val="00584BE1"/>
    <w:rsid w:val="00590B07"/>
    <w:rsid w:val="00594946"/>
    <w:rsid w:val="005B7C31"/>
    <w:rsid w:val="005C4646"/>
    <w:rsid w:val="005C618C"/>
    <w:rsid w:val="005E201F"/>
    <w:rsid w:val="005E5020"/>
    <w:rsid w:val="00630374"/>
    <w:rsid w:val="00635EF5"/>
    <w:rsid w:val="00676D7F"/>
    <w:rsid w:val="006829A0"/>
    <w:rsid w:val="0069560B"/>
    <w:rsid w:val="006971EF"/>
    <w:rsid w:val="00697D3A"/>
    <w:rsid w:val="006A0774"/>
    <w:rsid w:val="006B013C"/>
    <w:rsid w:val="006B1E00"/>
    <w:rsid w:val="006D07E3"/>
    <w:rsid w:val="006D2C7B"/>
    <w:rsid w:val="006F7AED"/>
    <w:rsid w:val="00700D13"/>
    <w:rsid w:val="00711568"/>
    <w:rsid w:val="00735954"/>
    <w:rsid w:val="007849B5"/>
    <w:rsid w:val="00792103"/>
    <w:rsid w:val="007A4979"/>
    <w:rsid w:val="007B4749"/>
    <w:rsid w:val="007C25BF"/>
    <w:rsid w:val="007C38B3"/>
    <w:rsid w:val="007E13F6"/>
    <w:rsid w:val="00812415"/>
    <w:rsid w:val="00815726"/>
    <w:rsid w:val="008162F7"/>
    <w:rsid w:val="008178AF"/>
    <w:rsid w:val="0083784A"/>
    <w:rsid w:val="00852832"/>
    <w:rsid w:val="008B72BD"/>
    <w:rsid w:val="008C60E2"/>
    <w:rsid w:val="008D0CE0"/>
    <w:rsid w:val="008D5922"/>
    <w:rsid w:val="008D7F0E"/>
    <w:rsid w:val="008E1FCC"/>
    <w:rsid w:val="008E59F2"/>
    <w:rsid w:val="008E6B17"/>
    <w:rsid w:val="008F1647"/>
    <w:rsid w:val="0090376F"/>
    <w:rsid w:val="009120FF"/>
    <w:rsid w:val="0091417B"/>
    <w:rsid w:val="00940D33"/>
    <w:rsid w:val="00943858"/>
    <w:rsid w:val="009576A1"/>
    <w:rsid w:val="00965CE6"/>
    <w:rsid w:val="0097344F"/>
    <w:rsid w:val="00980E30"/>
    <w:rsid w:val="00984AB5"/>
    <w:rsid w:val="00991243"/>
    <w:rsid w:val="00995635"/>
    <w:rsid w:val="009A3F9B"/>
    <w:rsid w:val="009B07D6"/>
    <w:rsid w:val="009C0581"/>
    <w:rsid w:val="009C42BA"/>
    <w:rsid w:val="00A074A4"/>
    <w:rsid w:val="00A107E7"/>
    <w:rsid w:val="00A21E44"/>
    <w:rsid w:val="00A36E0C"/>
    <w:rsid w:val="00A40F17"/>
    <w:rsid w:val="00A45C8A"/>
    <w:rsid w:val="00A503F7"/>
    <w:rsid w:val="00A77AAA"/>
    <w:rsid w:val="00A77FE6"/>
    <w:rsid w:val="00A87D51"/>
    <w:rsid w:val="00A970B1"/>
    <w:rsid w:val="00AB49C6"/>
    <w:rsid w:val="00AE1EDF"/>
    <w:rsid w:val="00B0066F"/>
    <w:rsid w:val="00B06AEB"/>
    <w:rsid w:val="00B20505"/>
    <w:rsid w:val="00B2191A"/>
    <w:rsid w:val="00B34593"/>
    <w:rsid w:val="00B36588"/>
    <w:rsid w:val="00B51479"/>
    <w:rsid w:val="00B65BDA"/>
    <w:rsid w:val="00B67D8F"/>
    <w:rsid w:val="00B75215"/>
    <w:rsid w:val="00B77247"/>
    <w:rsid w:val="00BA0306"/>
    <w:rsid w:val="00BA63E1"/>
    <w:rsid w:val="00BB5A20"/>
    <w:rsid w:val="00BC303D"/>
    <w:rsid w:val="00BC3DD8"/>
    <w:rsid w:val="00BD35B4"/>
    <w:rsid w:val="00BD45F3"/>
    <w:rsid w:val="00BD5864"/>
    <w:rsid w:val="00C0149D"/>
    <w:rsid w:val="00C13A9E"/>
    <w:rsid w:val="00C312D6"/>
    <w:rsid w:val="00C3332B"/>
    <w:rsid w:val="00C41EEC"/>
    <w:rsid w:val="00C62B1B"/>
    <w:rsid w:val="00C63ADC"/>
    <w:rsid w:val="00C6566F"/>
    <w:rsid w:val="00C7195A"/>
    <w:rsid w:val="00C87C08"/>
    <w:rsid w:val="00CB5035"/>
    <w:rsid w:val="00CD09D4"/>
    <w:rsid w:val="00CF6EDA"/>
    <w:rsid w:val="00D13B93"/>
    <w:rsid w:val="00D150F4"/>
    <w:rsid w:val="00D447C5"/>
    <w:rsid w:val="00D632AC"/>
    <w:rsid w:val="00D75B53"/>
    <w:rsid w:val="00D82569"/>
    <w:rsid w:val="00DA0518"/>
    <w:rsid w:val="00DA05FB"/>
    <w:rsid w:val="00DA2464"/>
    <w:rsid w:val="00DA625C"/>
    <w:rsid w:val="00DC5EC7"/>
    <w:rsid w:val="00DD11AA"/>
    <w:rsid w:val="00DD6436"/>
    <w:rsid w:val="00DD6797"/>
    <w:rsid w:val="00DE0176"/>
    <w:rsid w:val="00DF6D9F"/>
    <w:rsid w:val="00E0164A"/>
    <w:rsid w:val="00E104C8"/>
    <w:rsid w:val="00E16AA2"/>
    <w:rsid w:val="00E21202"/>
    <w:rsid w:val="00E54150"/>
    <w:rsid w:val="00E65BC8"/>
    <w:rsid w:val="00E65C6A"/>
    <w:rsid w:val="00E70260"/>
    <w:rsid w:val="00E84CB1"/>
    <w:rsid w:val="00E924DD"/>
    <w:rsid w:val="00E97208"/>
    <w:rsid w:val="00EA014E"/>
    <w:rsid w:val="00EA1951"/>
    <w:rsid w:val="00ED2CAD"/>
    <w:rsid w:val="00EF232C"/>
    <w:rsid w:val="00F01135"/>
    <w:rsid w:val="00F05361"/>
    <w:rsid w:val="00F068F0"/>
    <w:rsid w:val="00F23583"/>
    <w:rsid w:val="00F3250F"/>
    <w:rsid w:val="00F37266"/>
    <w:rsid w:val="00F50BA6"/>
    <w:rsid w:val="00F52CBC"/>
    <w:rsid w:val="00F56DD8"/>
    <w:rsid w:val="00F57DE1"/>
    <w:rsid w:val="00F63EA3"/>
    <w:rsid w:val="00F6418F"/>
    <w:rsid w:val="00F70793"/>
    <w:rsid w:val="00F74551"/>
    <w:rsid w:val="00FB35D0"/>
    <w:rsid w:val="00FB49B6"/>
    <w:rsid w:val="00FC2100"/>
    <w:rsid w:val="00FC5D78"/>
    <w:rsid w:val="00FC6F58"/>
    <w:rsid w:val="00FD145E"/>
    <w:rsid w:val="00FD2AD8"/>
    <w:rsid w:val="00FD4B62"/>
    <w:rsid w:val="00FF225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14DFBE"/>
  <w15:chartTrackingRefBased/>
  <w15:docId w15:val="{A3D89916-A6A1-4B85-9AF0-DEC9FEB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F6D9F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17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B07D6"/>
  </w:style>
  <w:style w:type="paragraph" w:styleId="Funotentext">
    <w:name w:val="footnote text"/>
    <w:basedOn w:val="Standard"/>
    <w:link w:val="FunotentextZchn"/>
    <w:unhideWhenUsed/>
    <w:rsid w:val="009B07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07D6"/>
    <w:rPr>
      <w:sz w:val="20"/>
      <w:szCs w:val="20"/>
    </w:rPr>
  </w:style>
  <w:style w:type="character" w:styleId="Funotenzeichen">
    <w:name w:val="footnote reference"/>
    <w:rsid w:val="009B07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10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2D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D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D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DF6D9F"/>
    <w:rPr>
      <w:rFonts w:ascii="Arial Narrow" w:eastAsia="Times New Roman" w:hAnsi="Arial Narrow" w:cs="Times New Roman"/>
      <w:b/>
      <w:szCs w:val="20"/>
      <w:lang w:val="en-AU"/>
    </w:rPr>
  </w:style>
  <w:style w:type="paragraph" w:styleId="Listenabsatz">
    <w:name w:val="List Paragraph"/>
    <w:basedOn w:val="Standard"/>
    <w:uiPriority w:val="34"/>
    <w:qFormat/>
    <w:rsid w:val="00DF6D9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F0E"/>
  </w:style>
  <w:style w:type="paragraph" w:styleId="Fuzeile">
    <w:name w:val="footer"/>
    <w:basedOn w:val="Standard"/>
    <w:link w:val="Fu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F0E"/>
  </w:style>
  <w:style w:type="paragraph" w:customStyle="1" w:styleId="Default">
    <w:name w:val="Default"/>
    <w:rsid w:val="008D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1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F2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link w:val="StandardWebZchn"/>
    <w:uiPriority w:val="99"/>
    <w:unhideWhenUsed/>
    <w:rsid w:val="00EF2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F6418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B35D0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17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andardWebZchn">
    <w:name w:val="Standard (Web) Zchn"/>
    <w:link w:val="StandardWeb"/>
    <w:uiPriority w:val="99"/>
    <w:rsid w:val="001917D7"/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5" ma:contentTypeDescription="Create a new document." ma:contentTypeScope="" ma:versionID="2bcc0108ed1b1cc3991a5572310459ec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8b122f7c88c4216c8dda69ab2c5929fe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C6836-9ADF-4FD0-A510-5DF69223E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C0DE2-BF53-420E-B214-28835968CFF1}"/>
</file>

<file path=customXml/itemProps3.xml><?xml version="1.0" encoding="utf-8"?>
<ds:datastoreItem xmlns:ds="http://schemas.openxmlformats.org/officeDocument/2006/customXml" ds:itemID="{FEF812EB-394C-423D-84CC-29287434B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S101PT-NIPWG introduction of MRN in ProdSpec</vt:lpstr>
      <vt:lpstr/>
    </vt:vector>
  </TitlesOfParts>
  <Company>BSH Rostock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S101PT-NIPWG introduction of MRN in ProdSpec</dc:title>
  <dc:subject/>
  <dc:creator>Jens Schröder- Fürstenberg</dc:creator>
  <cp:keywords/>
  <dc:description/>
  <cp:lastModifiedBy>Philipp Schwedas</cp:lastModifiedBy>
  <cp:revision>9</cp:revision>
  <cp:lastPrinted>2022-02-02T13:52:00Z</cp:lastPrinted>
  <dcterms:created xsi:type="dcterms:W3CDTF">2023-05-11T05:12:00Z</dcterms:created>
  <dcterms:modified xsi:type="dcterms:W3CDTF">2023-06-13T11:02:00Z</dcterms:modified>
</cp:coreProperties>
</file>